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AB2" w:rsidRDefault="00656AB2" w:rsidP="00656AB2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REPUBLIKA HRVATSKA</w:t>
      </w:r>
    </w:p>
    <w:p w:rsidR="00656AB2" w:rsidRDefault="00656AB2" w:rsidP="00656AB2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:rsidR="00656AB2" w:rsidRDefault="00656AB2" w:rsidP="00656AB2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:rsidR="00656AB2" w:rsidRDefault="00656AB2" w:rsidP="00656AB2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GRADONAČELNIK</w:t>
      </w:r>
    </w:p>
    <w:p w:rsidR="00656AB2" w:rsidRDefault="00656AB2" w:rsidP="00656AB2">
      <w:pPr>
        <w:jc w:val="center"/>
        <w:rPr>
          <w:b/>
          <w:bCs/>
          <w:sz w:val="32"/>
          <w:szCs w:val="32"/>
        </w:rPr>
      </w:pPr>
    </w:p>
    <w:p w:rsidR="00656AB2" w:rsidRDefault="00656AB2" w:rsidP="00656AB2">
      <w:pPr>
        <w:jc w:val="center"/>
        <w:rPr>
          <w:b/>
          <w:bCs/>
          <w:sz w:val="32"/>
          <w:szCs w:val="32"/>
        </w:rPr>
      </w:pPr>
    </w:p>
    <w:p w:rsidR="00656AB2" w:rsidRDefault="00656AB2" w:rsidP="00656AB2">
      <w:pPr>
        <w:jc w:val="center"/>
        <w:rPr>
          <w:b/>
          <w:bCs/>
          <w:sz w:val="32"/>
          <w:szCs w:val="32"/>
        </w:rPr>
      </w:pPr>
    </w:p>
    <w:p w:rsidR="00656AB2" w:rsidRDefault="00656AB2" w:rsidP="00656AB2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:rsidR="00656AB2" w:rsidRDefault="00656AB2" w:rsidP="00656AB2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n/r predsjednice Nade Glad</w:t>
      </w:r>
    </w:p>
    <w:p w:rsidR="00656AB2" w:rsidRDefault="00656AB2" w:rsidP="00656AB2">
      <w:pPr>
        <w:rPr>
          <w:b/>
          <w:bCs/>
          <w:sz w:val="36"/>
          <w:szCs w:val="36"/>
        </w:rPr>
      </w:pPr>
    </w:p>
    <w:p w:rsidR="00656AB2" w:rsidRDefault="00656AB2" w:rsidP="00656AB2">
      <w:pPr>
        <w:jc w:val="center"/>
        <w:rPr>
          <w:b/>
          <w:bCs/>
          <w:sz w:val="40"/>
          <w:szCs w:val="40"/>
        </w:rPr>
      </w:pPr>
    </w:p>
    <w:p w:rsidR="00656AB2" w:rsidRDefault="00656AB2" w:rsidP="00656AB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:rsidR="00656AB2" w:rsidRDefault="00656AB2" w:rsidP="00656AB2">
      <w:pPr>
        <w:rPr>
          <w:bCs/>
          <w:sz w:val="32"/>
          <w:szCs w:val="32"/>
        </w:rPr>
      </w:pPr>
    </w:p>
    <w:p w:rsidR="00656AB2" w:rsidRDefault="00656AB2" w:rsidP="00656AB2">
      <w:pPr>
        <w:rPr>
          <w:bCs/>
          <w:sz w:val="32"/>
          <w:szCs w:val="32"/>
        </w:rPr>
      </w:pPr>
    </w:p>
    <w:p w:rsidR="00656AB2" w:rsidRDefault="00656AB2" w:rsidP="00656AB2">
      <w:pPr>
        <w:rPr>
          <w:bCs/>
          <w:sz w:val="32"/>
          <w:szCs w:val="32"/>
        </w:rPr>
      </w:pPr>
    </w:p>
    <w:p w:rsidR="00656AB2" w:rsidRDefault="00656AB2" w:rsidP="00656AB2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:rsidR="00656AB2" w:rsidRDefault="00656AB2" w:rsidP="00656AB2">
      <w:pPr>
        <w:jc w:val="center"/>
        <w:rPr>
          <w:bCs/>
          <w:sz w:val="48"/>
          <w:szCs w:val="48"/>
        </w:rPr>
      </w:pPr>
    </w:p>
    <w:p w:rsidR="00656AB2" w:rsidRDefault="00656AB2" w:rsidP="00656AB2">
      <w:pPr>
        <w:jc w:val="center"/>
        <w:rPr>
          <w:sz w:val="48"/>
          <w:szCs w:val="48"/>
        </w:rPr>
      </w:pPr>
      <w:r>
        <w:rPr>
          <w:bCs/>
          <w:sz w:val="48"/>
          <w:szCs w:val="48"/>
        </w:rPr>
        <w:t>PROGRAMA ODRŽAVANJA KOMUNALNE INFRASTRUKTURE U 2016. GODINI</w:t>
      </w:r>
    </w:p>
    <w:p w:rsidR="00656AB2" w:rsidRDefault="00656AB2" w:rsidP="00656AB2">
      <w:pPr>
        <w:jc w:val="center"/>
        <w:rPr>
          <w:b/>
          <w:bCs/>
          <w:sz w:val="36"/>
          <w:szCs w:val="36"/>
        </w:rPr>
      </w:pPr>
    </w:p>
    <w:p w:rsidR="00656AB2" w:rsidRDefault="00656AB2" w:rsidP="00656AB2">
      <w:pPr>
        <w:jc w:val="center"/>
        <w:rPr>
          <w:b/>
          <w:bCs/>
          <w:sz w:val="36"/>
          <w:szCs w:val="36"/>
        </w:rPr>
      </w:pPr>
    </w:p>
    <w:p w:rsidR="00656AB2" w:rsidRDefault="00656AB2" w:rsidP="00656AB2">
      <w:pPr>
        <w:jc w:val="center"/>
        <w:rPr>
          <w:b/>
          <w:bCs/>
          <w:sz w:val="36"/>
          <w:szCs w:val="36"/>
        </w:rPr>
      </w:pPr>
    </w:p>
    <w:p w:rsidR="00656AB2" w:rsidRDefault="00656AB2" w:rsidP="00656AB2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644"/>
      </w:tblGrid>
      <w:tr w:rsidR="00656AB2" w:rsidTr="00656AB2">
        <w:tc>
          <w:tcPr>
            <w:tcW w:w="4644" w:type="dxa"/>
            <w:hideMark/>
          </w:tcPr>
          <w:p w:rsidR="00656AB2" w:rsidRDefault="00656AB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644" w:type="dxa"/>
          </w:tcPr>
          <w:p w:rsidR="00656AB2" w:rsidRDefault="00656AB2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56AB2" w:rsidTr="00656AB2">
        <w:tc>
          <w:tcPr>
            <w:tcW w:w="4644" w:type="dxa"/>
            <w:hideMark/>
          </w:tcPr>
          <w:p w:rsidR="00656AB2" w:rsidRDefault="00656AB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Gradonačelnik</w:t>
            </w:r>
          </w:p>
        </w:tc>
        <w:tc>
          <w:tcPr>
            <w:tcW w:w="4644" w:type="dxa"/>
            <w:hideMark/>
          </w:tcPr>
          <w:p w:rsidR="00656AB2" w:rsidRDefault="00656AB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Pročelnica JUO</w:t>
            </w:r>
          </w:p>
        </w:tc>
      </w:tr>
      <w:tr w:rsidR="00656AB2" w:rsidTr="00656AB2">
        <w:tc>
          <w:tcPr>
            <w:tcW w:w="4644" w:type="dxa"/>
            <w:hideMark/>
          </w:tcPr>
          <w:p w:rsidR="00656AB2" w:rsidRDefault="00656AB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Ivica Knežević, </w:t>
            </w:r>
            <w:proofErr w:type="spellStart"/>
            <w:r>
              <w:rPr>
                <w:bCs/>
                <w:sz w:val="28"/>
                <w:szCs w:val="28"/>
              </w:rPr>
              <w:t>dipl.iur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644" w:type="dxa"/>
            <w:hideMark/>
          </w:tcPr>
          <w:p w:rsidR="00656AB2" w:rsidRDefault="00656AB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Gordana </w:t>
            </w:r>
            <w:proofErr w:type="spellStart"/>
            <w:r>
              <w:rPr>
                <w:bCs/>
                <w:sz w:val="28"/>
                <w:szCs w:val="28"/>
              </w:rPr>
              <w:t>Piskač</w:t>
            </w:r>
            <w:proofErr w:type="spellEnd"/>
            <w:r>
              <w:rPr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dipl.ing.građ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</w:tr>
    </w:tbl>
    <w:p w:rsidR="00656AB2" w:rsidRDefault="00656AB2" w:rsidP="00656AB2">
      <w:pPr>
        <w:rPr>
          <w:b/>
        </w:rPr>
      </w:pPr>
    </w:p>
    <w:p w:rsidR="00656AB2" w:rsidRDefault="00656AB2" w:rsidP="00656AB2">
      <w:pPr>
        <w:rPr>
          <w:b/>
        </w:rPr>
      </w:pPr>
    </w:p>
    <w:p w:rsidR="00656AB2" w:rsidRDefault="00656AB2" w:rsidP="00656AB2">
      <w:pPr>
        <w:rPr>
          <w:b/>
        </w:rPr>
      </w:pPr>
    </w:p>
    <w:p w:rsidR="00656AB2" w:rsidRDefault="00656AB2" w:rsidP="00656AB2">
      <w:pPr>
        <w:rPr>
          <w:b/>
        </w:rPr>
      </w:pPr>
    </w:p>
    <w:p w:rsidR="00656AB2" w:rsidRDefault="00656AB2" w:rsidP="00656AB2">
      <w:pPr>
        <w:rPr>
          <w:b/>
        </w:rPr>
      </w:pPr>
    </w:p>
    <w:p w:rsidR="00656AB2" w:rsidRDefault="00656AB2" w:rsidP="00656AB2">
      <w:pPr>
        <w:jc w:val="center"/>
        <w:rPr>
          <w:b/>
        </w:rPr>
      </w:pPr>
    </w:p>
    <w:p w:rsidR="00656AB2" w:rsidRDefault="00656AB2" w:rsidP="00656AB2">
      <w:pPr>
        <w:jc w:val="center"/>
        <w:rPr>
          <w:b/>
        </w:rPr>
      </w:pPr>
    </w:p>
    <w:p w:rsidR="00656AB2" w:rsidRDefault="00656AB2" w:rsidP="00656AB2">
      <w:pPr>
        <w:jc w:val="center"/>
        <w:rPr>
          <w:b/>
        </w:rPr>
      </w:pPr>
    </w:p>
    <w:p w:rsidR="00656AB2" w:rsidRDefault="00656AB2" w:rsidP="00656AB2">
      <w:pPr>
        <w:jc w:val="center"/>
        <w:rPr>
          <w:b/>
        </w:rPr>
      </w:pPr>
      <w:r>
        <w:rPr>
          <w:b/>
        </w:rPr>
        <w:t>Delnice, prosinac 2015.</w:t>
      </w:r>
    </w:p>
    <w:p w:rsidR="00656AB2" w:rsidRDefault="00656AB2" w:rsidP="00656AB2">
      <w:pPr>
        <w:jc w:val="center"/>
        <w:rPr>
          <w:b/>
        </w:rPr>
      </w:pPr>
    </w:p>
    <w:p w:rsidR="00656AB2" w:rsidRDefault="00656AB2" w:rsidP="00656AB2">
      <w:pPr>
        <w:jc w:val="center"/>
        <w:rPr>
          <w:b/>
        </w:rPr>
      </w:pPr>
    </w:p>
    <w:p w:rsidR="00656AB2" w:rsidRDefault="00656AB2" w:rsidP="00656AB2">
      <w:pPr>
        <w:jc w:val="center"/>
        <w:rPr>
          <w:b/>
        </w:rPr>
      </w:pPr>
    </w:p>
    <w:p w:rsidR="00656AB2" w:rsidRDefault="00656AB2" w:rsidP="00656AB2">
      <w:pPr>
        <w:jc w:val="center"/>
        <w:rPr>
          <w:b/>
        </w:rPr>
      </w:pPr>
    </w:p>
    <w:p w:rsidR="00656AB2" w:rsidRDefault="00656AB2" w:rsidP="00656AB2">
      <w:pPr>
        <w:spacing w:line="276" w:lineRule="auto"/>
        <w:jc w:val="center"/>
        <w:rPr>
          <w:b/>
        </w:rPr>
      </w:pPr>
      <w:r>
        <w:rPr>
          <w:b/>
        </w:rPr>
        <w:lastRenderedPageBreak/>
        <w:t>Obrazloženje prijedloga</w:t>
      </w:r>
    </w:p>
    <w:p w:rsidR="00656AB2" w:rsidRDefault="00656AB2" w:rsidP="00656AB2">
      <w:pPr>
        <w:spacing w:line="276" w:lineRule="auto"/>
        <w:jc w:val="center"/>
        <w:rPr>
          <w:b/>
        </w:rPr>
      </w:pPr>
      <w:r>
        <w:rPr>
          <w:b/>
        </w:rPr>
        <w:t>Programa održavanja komunalne infrastrukture u 2016. godini</w:t>
      </w:r>
    </w:p>
    <w:p w:rsidR="00656AB2" w:rsidRDefault="00656AB2" w:rsidP="00656AB2">
      <w:pPr>
        <w:spacing w:line="276" w:lineRule="auto"/>
        <w:rPr>
          <w:b/>
        </w:rPr>
      </w:pPr>
    </w:p>
    <w:p w:rsidR="00656AB2" w:rsidRDefault="00656AB2" w:rsidP="00656AB2">
      <w:pPr>
        <w:spacing w:line="276" w:lineRule="auto"/>
        <w:rPr>
          <w:b/>
        </w:rPr>
      </w:pPr>
    </w:p>
    <w:p w:rsidR="00656AB2" w:rsidRDefault="00656AB2" w:rsidP="00656AB2">
      <w:pPr>
        <w:spacing w:line="276" w:lineRule="auto"/>
        <w:ind w:firstLine="540"/>
        <w:jc w:val="both"/>
      </w:pPr>
      <w:r>
        <w:t>Na temelju članka 28. stavka 1. Zakona o komunalnom gospodarstvu (“Narodne novine” broj 36/95, 70/97, 128/99, 57/00, 129/00, 59/01, 26/03 - pročišćeni tekst, 82/04, 178/04, 38/09 i 79/09, 49/11, 84/11, 90/11, 144/12, 56/13, 94/13 i 153/13) Predstavničko tijelo jedinice lokalne samouprave, za svaku kalendarsku godinu u skladu s predvidivim sredstvima i izvorima financiranja donosi Program održavanja komunalne infrastrukture za djelatnosti iz članka 21. stavka 1. gore navedenog Zakona, a koje se odnose na:</w:t>
      </w:r>
    </w:p>
    <w:p w:rsidR="00656AB2" w:rsidRDefault="00656AB2" w:rsidP="00656AB2">
      <w:pPr>
        <w:spacing w:line="276" w:lineRule="auto"/>
        <w:ind w:firstLine="540"/>
        <w:jc w:val="both"/>
      </w:pPr>
      <w:r>
        <w:t xml:space="preserve">- održavanje javnih površina u dijelu čišćenja javnih površina, košnje, održavanja zelenih površina, čišćenja snijega s nogostupa, održavanja dječjih igrališta, dezinsekcije i deratizacije i sl. , </w:t>
      </w:r>
    </w:p>
    <w:p w:rsidR="00656AB2" w:rsidRDefault="00656AB2" w:rsidP="00656AB2">
      <w:pPr>
        <w:spacing w:line="276" w:lineRule="auto"/>
        <w:ind w:firstLine="540"/>
        <w:jc w:val="both"/>
      </w:pPr>
      <w:r>
        <w:t xml:space="preserve">- održavanje  nerazvrstanih cesta u sklopu čega je zimska služba, građevinsko održavanje cesta, oborinska odvodnja i održavanje horizontalne i vertikalne signalizacije </w:t>
      </w:r>
    </w:p>
    <w:p w:rsidR="00656AB2" w:rsidRDefault="00656AB2" w:rsidP="00656AB2">
      <w:pPr>
        <w:spacing w:line="276" w:lineRule="auto"/>
        <w:ind w:firstLine="540"/>
        <w:jc w:val="both"/>
      </w:pPr>
      <w:r>
        <w:t>-  održavanje javne rasvjete,</w:t>
      </w:r>
    </w:p>
    <w:p w:rsidR="00656AB2" w:rsidRDefault="00656AB2" w:rsidP="00656AB2">
      <w:pPr>
        <w:spacing w:line="276" w:lineRule="auto"/>
        <w:ind w:firstLine="540"/>
        <w:jc w:val="both"/>
      </w:pPr>
      <w:r>
        <w:t>-  održavanje groblja.</w:t>
      </w:r>
    </w:p>
    <w:p w:rsidR="00656AB2" w:rsidRDefault="00656AB2" w:rsidP="00656AB2">
      <w:pPr>
        <w:spacing w:line="276" w:lineRule="auto"/>
        <w:ind w:firstLine="540"/>
        <w:jc w:val="both"/>
      </w:pPr>
      <w:r>
        <w:t xml:space="preserve"> Programom se utvrđuje opis i opseg poslova održavanja s procjenom pojedinih troškova po djelatnostima i financijska sredstva potrebna za ostvarivanje programa, s naznakom izvora financiranja.</w:t>
      </w:r>
    </w:p>
    <w:p w:rsidR="00656AB2" w:rsidRDefault="00656AB2" w:rsidP="00656AB2">
      <w:pPr>
        <w:spacing w:line="276" w:lineRule="auto"/>
        <w:ind w:firstLine="540"/>
        <w:jc w:val="both"/>
      </w:pPr>
      <w:r>
        <w:t>Prijedlog Programa izrađen je na temelju dosadašnjeg načina i obima održavanja komunalne infrastrukture i potreba koje iz toga proizlaze, kao i na temelju visine i strukture prihoda koji se planiraju u 2016. godini.</w:t>
      </w:r>
    </w:p>
    <w:p w:rsidR="00656AB2" w:rsidRDefault="00656AB2" w:rsidP="00656AB2">
      <w:pPr>
        <w:spacing w:line="276" w:lineRule="auto"/>
        <w:ind w:firstLine="540"/>
        <w:jc w:val="both"/>
      </w:pPr>
      <w:r>
        <w:t>Radovi na održavanju komunalne infrastrukture financiraju se iz komunalne naknade koja je znatno umanjena iz razloga što su jedinice lokalne samouprave ostale bez tog prihoda od strane Države, a za građevine u vlasništvu Države ili MORH-a – bivša vojna skladišta V2 i V3, te vojarna i Dom HV.</w:t>
      </w:r>
    </w:p>
    <w:p w:rsidR="00656AB2" w:rsidRDefault="00656AB2" w:rsidP="00656AB2">
      <w:pPr>
        <w:spacing w:line="276" w:lineRule="auto"/>
        <w:ind w:firstLine="540"/>
        <w:jc w:val="both"/>
      </w:pPr>
      <w:r>
        <w:t xml:space="preserve">Ukupna vrijednost programa iznosi </w:t>
      </w:r>
      <w:r w:rsidR="00303E70">
        <w:t>2.880.000,00</w:t>
      </w:r>
      <w:r>
        <w:t xml:space="preserve"> kuna, a izvori sredstava osigurati će iz sredstava uplaćenih po osnovi komunalne naknade, te iz proračuna Grada Delnica.   </w:t>
      </w:r>
    </w:p>
    <w:p w:rsidR="00656AB2" w:rsidRDefault="00656AB2" w:rsidP="00656AB2">
      <w:pPr>
        <w:spacing w:line="276" w:lineRule="auto"/>
        <w:ind w:firstLine="540"/>
        <w:jc w:val="both"/>
      </w:pPr>
    </w:p>
    <w:p w:rsidR="00656AB2" w:rsidRDefault="00656AB2" w:rsidP="00656AB2">
      <w:pPr>
        <w:spacing w:line="276" w:lineRule="auto"/>
        <w:ind w:firstLine="540"/>
        <w:jc w:val="both"/>
      </w:pPr>
    </w:p>
    <w:p w:rsidR="00656AB2" w:rsidRDefault="00656AB2" w:rsidP="00656AB2">
      <w:pPr>
        <w:ind w:firstLine="540"/>
        <w:jc w:val="both"/>
      </w:pPr>
    </w:p>
    <w:p w:rsidR="00656AB2" w:rsidRDefault="00656AB2" w:rsidP="00656AB2">
      <w:pPr>
        <w:ind w:firstLine="540"/>
        <w:jc w:val="both"/>
      </w:pPr>
    </w:p>
    <w:p w:rsidR="00656AB2" w:rsidRDefault="00656AB2" w:rsidP="00656AB2">
      <w:pPr>
        <w:ind w:firstLine="540"/>
        <w:jc w:val="both"/>
      </w:pPr>
    </w:p>
    <w:p w:rsidR="00656AB2" w:rsidRDefault="00656AB2" w:rsidP="00656AB2">
      <w:pPr>
        <w:ind w:firstLine="540"/>
        <w:jc w:val="both"/>
      </w:pPr>
    </w:p>
    <w:p w:rsidR="00656AB2" w:rsidRDefault="00656AB2" w:rsidP="00656AB2">
      <w:pPr>
        <w:ind w:firstLine="540"/>
        <w:jc w:val="both"/>
      </w:pPr>
    </w:p>
    <w:p w:rsidR="00656AB2" w:rsidRDefault="00656AB2" w:rsidP="00656AB2">
      <w:pPr>
        <w:ind w:firstLine="540"/>
        <w:jc w:val="both"/>
      </w:pPr>
    </w:p>
    <w:p w:rsidR="00656AB2" w:rsidRDefault="00656AB2" w:rsidP="00656AB2">
      <w:pPr>
        <w:ind w:firstLine="540"/>
        <w:jc w:val="both"/>
      </w:pPr>
    </w:p>
    <w:p w:rsidR="00656AB2" w:rsidRDefault="00656AB2" w:rsidP="00656AB2">
      <w:pPr>
        <w:ind w:firstLine="540"/>
        <w:jc w:val="both"/>
      </w:pPr>
    </w:p>
    <w:p w:rsidR="00656AB2" w:rsidRDefault="00656AB2" w:rsidP="00656AB2">
      <w:pPr>
        <w:ind w:firstLine="540"/>
        <w:jc w:val="both"/>
      </w:pPr>
    </w:p>
    <w:p w:rsidR="00656AB2" w:rsidRDefault="00656AB2" w:rsidP="00656AB2">
      <w:pPr>
        <w:ind w:firstLine="540"/>
        <w:jc w:val="both"/>
      </w:pPr>
    </w:p>
    <w:p w:rsidR="00656AB2" w:rsidRDefault="00656AB2" w:rsidP="00656AB2">
      <w:pPr>
        <w:ind w:firstLine="540"/>
        <w:jc w:val="both"/>
      </w:pPr>
    </w:p>
    <w:p w:rsidR="00656AB2" w:rsidRDefault="00656AB2" w:rsidP="00656AB2">
      <w:pPr>
        <w:ind w:firstLine="540"/>
        <w:jc w:val="both"/>
      </w:pPr>
    </w:p>
    <w:p w:rsidR="00656AB2" w:rsidRDefault="00656AB2" w:rsidP="00656AB2">
      <w:pPr>
        <w:ind w:firstLine="540"/>
        <w:jc w:val="both"/>
      </w:pPr>
    </w:p>
    <w:p w:rsidR="00656AB2" w:rsidRDefault="00656AB2" w:rsidP="00656AB2">
      <w:pPr>
        <w:ind w:firstLine="540"/>
        <w:jc w:val="both"/>
      </w:pPr>
    </w:p>
    <w:p w:rsidR="00656AB2" w:rsidRDefault="00656AB2" w:rsidP="00656AB2">
      <w:pPr>
        <w:ind w:firstLine="540"/>
        <w:jc w:val="both"/>
      </w:pPr>
    </w:p>
    <w:p w:rsidR="00656AB2" w:rsidRDefault="00656AB2" w:rsidP="00656AB2">
      <w:pPr>
        <w:ind w:firstLine="540"/>
        <w:jc w:val="both"/>
      </w:pPr>
    </w:p>
    <w:p w:rsidR="00656AB2" w:rsidRDefault="00656AB2" w:rsidP="00656AB2">
      <w:pPr>
        <w:sectPr w:rsidR="00656AB2">
          <w:pgSz w:w="11906" w:h="16838"/>
          <w:pgMar w:top="1191" w:right="1191" w:bottom="1191" w:left="1191" w:header="709" w:footer="709" w:gutter="0"/>
          <w:pgNumType w:start="1"/>
          <w:cols w:space="720"/>
        </w:sectPr>
      </w:pPr>
    </w:p>
    <w:p w:rsidR="00656AB2" w:rsidRDefault="00656AB2" w:rsidP="00656AB2">
      <w:pPr>
        <w:rPr>
          <w:b/>
        </w:rPr>
      </w:pPr>
      <w:r>
        <w:rPr>
          <w:b/>
        </w:rPr>
        <w:lastRenderedPageBreak/>
        <w:t>REPUBLIKA HRVATSKA</w:t>
      </w:r>
    </w:p>
    <w:p w:rsidR="00656AB2" w:rsidRDefault="00656AB2" w:rsidP="00656AB2">
      <w:pPr>
        <w:rPr>
          <w:b/>
        </w:rPr>
      </w:pPr>
      <w:r>
        <w:rPr>
          <w:b/>
        </w:rPr>
        <w:t>PRIMORSKO-GORANSKA ŽUPANIJA</w:t>
      </w:r>
    </w:p>
    <w:p w:rsidR="00656AB2" w:rsidRDefault="00656AB2" w:rsidP="00656AB2">
      <w:pPr>
        <w:rPr>
          <w:b/>
        </w:rPr>
      </w:pPr>
      <w:r>
        <w:rPr>
          <w:b/>
        </w:rPr>
        <w:t>GRAD DELNICE</w:t>
      </w:r>
    </w:p>
    <w:p w:rsidR="00656AB2" w:rsidRDefault="00656AB2" w:rsidP="00656AB2">
      <w:pPr>
        <w:rPr>
          <w:b/>
        </w:rPr>
      </w:pPr>
      <w:r>
        <w:rPr>
          <w:b/>
        </w:rPr>
        <w:t>GRADSKO VIJEĆE</w:t>
      </w:r>
    </w:p>
    <w:p w:rsidR="00656AB2" w:rsidRPr="00A34ABE" w:rsidRDefault="00656AB2" w:rsidP="00656AB2">
      <w:r w:rsidRPr="00A34ABE">
        <w:t>KLASA: 363-01/15-01/39</w:t>
      </w:r>
    </w:p>
    <w:p w:rsidR="00656AB2" w:rsidRPr="00A34ABE" w:rsidRDefault="00656AB2" w:rsidP="00656AB2">
      <w:r w:rsidRPr="00A34ABE">
        <w:t>URBROJ: 2112-01-30-20-1-15-2</w:t>
      </w:r>
    </w:p>
    <w:p w:rsidR="00656AB2" w:rsidRPr="00A34ABE" w:rsidRDefault="00656AB2" w:rsidP="00656AB2">
      <w:r w:rsidRPr="00A34ABE">
        <w:t xml:space="preserve">Delnice, </w:t>
      </w:r>
      <w:r w:rsidR="00A34ABE" w:rsidRPr="00A34ABE">
        <w:t>17. prosinca</w:t>
      </w:r>
      <w:r w:rsidRPr="00A34ABE">
        <w:t xml:space="preserve"> 2015</w:t>
      </w:r>
    </w:p>
    <w:p w:rsidR="00656AB2" w:rsidRPr="00A34ABE" w:rsidRDefault="00656AB2" w:rsidP="00656AB2"/>
    <w:p w:rsidR="00656AB2" w:rsidRDefault="00656AB2" w:rsidP="00656AB2">
      <w:pPr>
        <w:ind w:firstLine="540"/>
        <w:jc w:val="both"/>
      </w:pPr>
    </w:p>
    <w:p w:rsidR="00656AB2" w:rsidRDefault="00656AB2" w:rsidP="00656AB2">
      <w:pPr>
        <w:ind w:firstLine="540"/>
        <w:jc w:val="both"/>
      </w:pPr>
    </w:p>
    <w:p w:rsidR="00656AB2" w:rsidRDefault="00656AB2" w:rsidP="00656AB2">
      <w:pPr>
        <w:ind w:firstLine="540"/>
        <w:jc w:val="both"/>
      </w:pPr>
      <w:r>
        <w:t>Temeljem članka 21. stavka 1. Zakona o komunalnom gospodarstvu (“Narodne novine” broj 36/95, 70/97, 128/99, 57/00, 129/00, 59/01, 26/03-pročišćeni tekst, 82/04, 38/09, 79/09, 49/11, 84/11, 90/11, 144/12, 56/13, 94/13, 153/13), članka 35. Zakona o lokalnoj i područnoj ( regionalnoj) samoupravi („Narodne novine“ br. 33/01, 60/01, 129/05, 109/07, 125/08, 36/09 i 150/11, 144/12) i članka 38. Statuta Grada Delnica (“Službene novine Primorsko-goranske županije” broj 28/09 i 41/09, 11/13, 20/13), Gradsko vijeće Grada Delnica na današnjoj sjednici donosi</w:t>
      </w:r>
    </w:p>
    <w:p w:rsidR="00656AB2" w:rsidRDefault="00656AB2" w:rsidP="00656AB2">
      <w:pPr>
        <w:ind w:firstLine="540"/>
        <w:jc w:val="both"/>
      </w:pPr>
    </w:p>
    <w:p w:rsidR="00656AB2" w:rsidRDefault="00656AB2" w:rsidP="00656AB2">
      <w:pPr>
        <w:ind w:firstLine="540"/>
        <w:jc w:val="both"/>
      </w:pPr>
    </w:p>
    <w:p w:rsidR="00656AB2" w:rsidRDefault="00656AB2" w:rsidP="00656AB2">
      <w:pPr>
        <w:jc w:val="center"/>
        <w:rPr>
          <w:b/>
          <w:sz w:val="28"/>
        </w:rPr>
      </w:pPr>
      <w:r>
        <w:rPr>
          <w:b/>
          <w:sz w:val="28"/>
        </w:rPr>
        <w:t>Program održavanja komunalne infrastrukture u 2016. godini</w:t>
      </w:r>
    </w:p>
    <w:p w:rsidR="00656AB2" w:rsidRDefault="00656AB2" w:rsidP="00656AB2">
      <w:pPr>
        <w:jc w:val="center"/>
        <w:rPr>
          <w:sz w:val="22"/>
        </w:rPr>
      </w:pPr>
    </w:p>
    <w:p w:rsidR="00656AB2" w:rsidRDefault="00656AB2" w:rsidP="00656AB2">
      <w:pPr>
        <w:jc w:val="center"/>
        <w:rPr>
          <w:b/>
        </w:rPr>
      </w:pPr>
      <w:r>
        <w:rPr>
          <w:b/>
        </w:rPr>
        <w:t>Članak 1.</w:t>
      </w:r>
    </w:p>
    <w:p w:rsidR="00656AB2" w:rsidRDefault="00656AB2" w:rsidP="00656AB2">
      <w:pPr>
        <w:ind w:firstLine="540"/>
        <w:jc w:val="both"/>
      </w:pPr>
      <w:r>
        <w:t>Ovim Programom utvrđuje se održavanje komunalne infrastrukture na području Grada Delnica u 2016. godini, opseg radova održavanja i financijska sredstva potrebna za ostvarenje Programa.</w:t>
      </w:r>
    </w:p>
    <w:p w:rsidR="00656AB2" w:rsidRDefault="00656AB2" w:rsidP="00656AB2">
      <w:pPr>
        <w:jc w:val="center"/>
        <w:rPr>
          <w:b/>
        </w:rPr>
      </w:pPr>
      <w:r>
        <w:rPr>
          <w:b/>
        </w:rPr>
        <w:t>Članak 2.</w:t>
      </w:r>
    </w:p>
    <w:p w:rsidR="00656AB2" w:rsidRDefault="00656AB2" w:rsidP="00656AB2">
      <w:pPr>
        <w:ind w:firstLine="540"/>
        <w:jc w:val="both"/>
      </w:pPr>
      <w:r>
        <w:t>Održavanje komunalne infrastrukture i visina potrebnih sredstava za obavljanje djelatnosti odvodnje atmosferskih voda, održavanje čistoće u dijelu koji se odnosi na čišćenje javnih površina, održavanje javnih površina, održavanje nerazvrstanih cesta, javne rasvjete i održavanje groblja utvrđuje se kako slijedi:</w:t>
      </w:r>
    </w:p>
    <w:p w:rsidR="00656AB2" w:rsidRDefault="00656AB2" w:rsidP="00656AB2">
      <w:pPr>
        <w:ind w:firstLine="540"/>
        <w:jc w:val="both"/>
        <w:rPr>
          <w:sz w:val="22"/>
        </w:rPr>
      </w:pPr>
    </w:p>
    <w:tbl>
      <w:tblPr>
        <w:tblW w:w="14579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81"/>
        <w:gridCol w:w="1619"/>
        <w:gridCol w:w="4961"/>
        <w:gridCol w:w="5818"/>
        <w:gridCol w:w="1800"/>
      </w:tblGrid>
      <w:tr w:rsidR="00656AB2" w:rsidTr="00656AB2">
        <w:trPr>
          <w:trHeight w:val="270"/>
        </w:trPr>
        <w:tc>
          <w:tcPr>
            <w:tcW w:w="3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656AB2" w:rsidRDefault="00656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POZICIJA U PRORAČUNU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NAZIV PROGRAMA</w:t>
            </w:r>
          </w:p>
        </w:tc>
        <w:tc>
          <w:tcPr>
            <w:tcW w:w="58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OPIS PROGRAMA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bottom"/>
            <w:hideMark/>
          </w:tcPr>
          <w:p w:rsidR="00656AB2" w:rsidRDefault="00656AB2" w:rsidP="00E254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PLAN 201</w:t>
            </w:r>
            <w:r w:rsidR="00E254DB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 (u kn)</w:t>
            </w:r>
          </w:p>
        </w:tc>
      </w:tr>
      <w:tr w:rsidR="00656AB2" w:rsidTr="00656AB2">
        <w:trPr>
          <w:trHeight w:val="270"/>
        </w:trPr>
        <w:tc>
          <w:tcPr>
            <w:tcW w:w="381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656AB2" w:rsidRDefault="00656A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656AB2" w:rsidRDefault="00656AB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ODRŽAVANJE JAVNIH POVRŠINA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56AB2" w:rsidRDefault="00656A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56AB2" w:rsidRPr="00656AB2" w:rsidTr="00656AB2">
        <w:trPr>
          <w:trHeight w:val="270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Pr="00EE2FCC" w:rsidRDefault="00656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2FCC">
              <w:rPr>
                <w:rFonts w:ascii="Arial" w:hAnsi="Arial" w:cs="Arial"/>
                <w:sz w:val="18"/>
                <w:szCs w:val="18"/>
              </w:rPr>
              <w:t>326</w:t>
            </w:r>
          </w:p>
          <w:p w:rsidR="00656AB2" w:rsidRPr="00EE2FCC" w:rsidRDefault="00656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2FCC">
              <w:rPr>
                <w:rFonts w:ascii="Arial" w:hAnsi="Arial" w:cs="Arial"/>
                <w:sz w:val="18"/>
                <w:szCs w:val="18"/>
              </w:rPr>
              <w:t>326.1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56AB2" w:rsidRPr="00EE2FCC" w:rsidRDefault="00656AB2">
            <w:pPr>
              <w:rPr>
                <w:rFonts w:ascii="Arial" w:hAnsi="Arial" w:cs="Arial"/>
                <w:sz w:val="18"/>
                <w:szCs w:val="18"/>
              </w:rPr>
            </w:pPr>
            <w:r w:rsidRPr="00EE2FCC">
              <w:rPr>
                <w:rFonts w:ascii="Arial" w:hAnsi="Arial" w:cs="Arial"/>
                <w:sz w:val="18"/>
                <w:szCs w:val="18"/>
              </w:rPr>
              <w:t xml:space="preserve">Ostale usluge u komunalnoj djelatnosti 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Pr="00EE2FCC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2FCC">
              <w:rPr>
                <w:rFonts w:ascii="Arial" w:hAnsi="Arial" w:cs="Arial"/>
                <w:sz w:val="18"/>
                <w:szCs w:val="18"/>
              </w:rPr>
              <w:t>u skladu s pozitivnim zakonskim propisima najmanje jednom godišnje vrši se deratizacija i dezinsekcija javnih površina, te usluge veterinarske službe za hvatanje i zbrinjavanje životinja koje su bez nadzora kao i čišćenje javnih površina od uginulih životinja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Pr="00EE2FCC" w:rsidRDefault="00A34AB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376A9D">
              <w:rPr>
                <w:rFonts w:ascii="Arial" w:hAnsi="Arial" w:cs="Arial"/>
                <w:sz w:val="18"/>
                <w:szCs w:val="18"/>
              </w:rPr>
              <w:t>0</w:t>
            </w:r>
            <w:r w:rsidR="00656AB2" w:rsidRPr="00EE2FCC">
              <w:rPr>
                <w:rFonts w:ascii="Arial" w:hAnsi="Arial" w:cs="Arial"/>
                <w:sz w:val="18"/>
                <w:szCs w:val="18"/>
              </w:rPr>
              <w:t>.000,00</w:t>
            </w:r>
          </w:p>
        </w:tc>
      </w:tr>
      <w:tr w:rsidR="00656AB2" w:rsidTr="00656AB2">
        <w:trPr>
          <w:trHeight w:val="270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- odvoz smeća s javnih površina kontejnerima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Odvoz smeća kontejnerima sa javnih površina prilikom čišćenja i održavanja istih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Default="00EE2FC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656AB2">
              <w:rPr>
                <w:rFonts w:ascii="Arial" w:hAnsi="Arial" w:cs="Arial"/>
                <w:sz w:val="18"/>
                <w:szCs w:val="18"/>
              </w:rPr>
              <w:t>0.000,00</w:t>
            </w:r>
          </w:p>
        </w:tc>
      </w:tr>
      <w:tr w:rsidR="00656AB2" w:rsidTr="00656AB2">
        <w:trPr>
          <w:trHeight w:val="270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</w:t>
            </w:r>
          </w:p>
          <w:p w:rsidR="00656AB2" w:rsidRDefault="00656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- čišćenje cesta i javno prometnih površina 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Sastoji se od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podprograma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održavanje javnih i zelenih površina i održavanje javno prometnih površina, a temeljem Ugovora s komunalnim poduzećem Risnjak-Delnice d.o.o. Radovi se odnose na održavanje javnih površina, travnjaka, zelenih površina, parkova, čišćenje pijeska s cesta i nogostupa, ručno čišćenje snijega s javnih površina i nogostupa, čišćenje kanala i sl., temeljem utvrđenog cjenika. Radovi se izvode osnovom naloga stručnih službi Grada Delnica, a kontrolu vrši komunalni redar.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Default="00656A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</w:p>
          <w:p w:rsidR="00656AB2" w:rsidRDefault="00656AB2" w:rsidP="00A34AB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="00A34ABE">
              <w:rPr>
                <w:rFonts w:ascii="Arial" w:hAnsi="Arial" w:cs="Arial"/>
                <w:sz w:val="18"/>
                <w:szCs w:val="18"/>
              </w:rPr>
              <w:t>780</w:t>
            </w:r>
            <w:r>
              <w:rPr>
                <w:rFonts w:ascii="Arial" w:hAnsi="Arial" w:cs="Arial"/>
                <w:sz w:val="18"/>
                <w:szCs w:val="18"/>
              </w:rPr>
              <w:t>.000,00</w:t>
            </w:r>
          </w:p>
        </w:tc>
      </w:tr>
      <w:tr w:rsidR="00656AB2" w:rsidTr="00656AB2">
        <w:trPr>
          <w:trHeight w:val="270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330.1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56AB2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- održavanje i nabava dječjih igrala i urbane opreme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 području Grada Delnica ima ukupno 9 dječjih igrališta koja su opremljena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igralima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koja treba redovno održavati zbog sigurnosti korištenja istih, te u pojedinim slučajevima izvršiti zamjenu uništenih igrala novima.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Default="00A34AB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656AB2">
              <w:rPr>
                <w:rFonts w:ascii="Arial" w:hAnsi="Arial" w:cs="Arial"/>
                <w:sz w:val="18"/>
                <w:szCs w:val="18"/>
              </w:rPr>
              <w:t>0.000,00</w:t>
            </w:r>
          </w:p>
        </w:tc>
      </w:tr>
      <w:tr w:rsidR="00656AB2" w:rsidTr="00656AB2">
        <w:trPr>
          <w:trHeight w:val="270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- razni nepredviđeni radovi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tijekom godine potrebno je izvršiti određene radnje na javnim površinama koje se ne mogu predvidjeti, a odnose se na hitne intervencije uslijed nastalih šteta na zemljištu ili opremi kojima se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spriječava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veća materijalna šteta ili uklanja opasnost za korisnike prostora.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Default="00EE2FC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="00656AB2">
              <w:rPr>
                <w:rFonts w:ascii="Arial" w:hAnsi="Arial" w:cs="Arial"/>
                <w:sz w:val="18"/>
                <w:szCs w:val="18"/>
              </w:rPr>
              <w:t>.000,00</w:t>
            </w:r>
          </w:p>
        </w:tc>
      </w:tr>
      <w:tr w:rsidR="00656AB2" w:rsidTr="00656AB2">
        <w:trPr>
          <w:trHeight w:val="270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- sanacija divljih deponija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ovisno o stanju na terenu vrši se procjena prioriteta čišćenja divljih deponija na čitavom teritoriju Grada Delnica, te se ovisno o obimu onečišćenja sanira nekoliko takvih lokacija. Radovi se izvode na lokacijama koje utvrdi komunalni redar ili prema dojavi građana.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Default="00EE2FC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656AB2">
              <w:rPr>
                <w:rFonts w:ascii="Arial" w:hAnsi="Arial" w:cs="Arial"/>
                <w:sz w:val="18"/>
                <w:szCs w:val="18"/>
              </w:rPr>
              <w:t>0.000,00</w:t>
            </w:r>
          </w:p>
        </w:tc>
      </w:tr>
      <w:tr w:rsidR="00656AB2" w:rsidTr="00656AB2">
        <w:trPr>
          <w:trHeight w:val="270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505.6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- održavanje autobusnih stajališta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Popravak krovne konstrukcije i metalne konstrukcije postojećih autobusnih stajališta s izmjenom daščane oplate i trule drvene konstrukcije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Default="00656A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10.000,00</w:t>
            </w:r>
          </w:p>
        </w:tc>
      </w:tr>
      <w:tr w:rsidR="00656AB2" w:rsidTr="00656AB2">
        <w:trPr>
          <w:trHeight w:val="270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 novogodišnje ukrašavanje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Delnica,Crnog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Luga i Broda na Kupi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montaža i demontaža novogodišnje dekoracije, spajanje ukrasa na stupove javne rasvjete, nabava novih ukrasa, a poslovi se obavljaju osnovom ugovora sa komunalnim poduzećem Risnjak-Delnice d.o.o.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Default="00EE2FC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656AB2">
              <w:rPr>
                <w:rFonts w:ascii="Arial" w:hAnsi="Arial" w:cs="Arial"/>
                <w:sz w:val="18"/>
                <w:szCs w:val="18"/>
              </w:rPr>
              <w:t>0.000,00</w:t>
            </w:r>
          </w:p>
        </w:tc>
      </w:tr>
      <w:tr w:rsidR="00656AB2" w:rsidTr="00656AB2">
        <w:trPr>
          <w:trHeight w:val="270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56AB2" w:rsidRDefault="00656AB2">
            <w:pPr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UKUPNO 1.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bottom"/>
            <w:hideMark/>
          </w:tcPr>
          <w:p w:rsidR="00656AB2" w:rsidRDefault="00A34ABE" w:rsidP="00376A9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965.000,00</w:t>
            </w:r>
          </w:p>
        </w:tc>
      </w:tr>
      <w:tr w:rsidR="00656AB2" w:rsidTr="00656AB2">
        <w:trPr>
          <w:trHeight w:val="270"/>
        </w:trPr>
        <w:tc>
          <w:tcPr>
            <w:tcW w:w="3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56AB2" w:rsidRDefault="00656AB2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656AB2" w:rsidRDefault="00656AB2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ODRŽAVANJE NERAZVRSTANIH CESTA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AB2" w:rsidRDefault="00656AB2">
            <w:pPr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bottom"/>
          </w:tcPr>
          <w:p w:rsidR="00656AB2" w:rsidRDefault="00656A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56AB2" w:rsidTr="00656AB2">
        <w:trPr>
          <w:trHeight w:val="255"/>
        </w:trPr>
        <w:tc>
          <w:tcPr>
            <w:tcW w:w="381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656AB2" w:rsidRDefault="00656A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355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56AB2" w:rsidRDefault="00656AB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ZIMSKA SLUŽBA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Sredstva su raspoređena po mjesnim odborima u postotku koji ima pripada razmjerno kilometraži nerazvrstanih cesta koje se nalazi na područjima pojedinih mjesnih odbora. Zimsko održavanje ceste uključuje redovito čišćenje cesta i posipavanje pijeskom i soli, te po potrebi i odvoz snijega s javnih površina, a sve u skladu sa jediničnim cijenama iz četverogodišnjeg ugovora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bottom"/>
            <w:hideMark/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56AB2" w:rsidTr="00656AB2">
        <w:trPr>
          <w:trHeight w:val="138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656AB2" w:rsidRDefault="00656AB2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  zimska služba   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KM nerazvrstanih cesta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bottom"/>
            <w:hideMark/>
          </w:tcPr>
          <w:p w:rsidR="00656AB2" w:rsidRDefault="00A34AB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900.000,00</w:t>
            </w:r>
          </w:p>
        </w:tc>
      </w:tr>
      <w:tr w:rsidR="00656AB2" w:rsidTr="003467AE">
        <w:trPr>
          <w:trHeight w:val="13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656AB2" w:rsidRDefault="00656AB2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MO DELNICE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8071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bottom"/>
          </w:tcPr>
          <w:p w:rsidR="00656AB2" w:rsidRDefault="00656A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6AB2" w:rsidTr="003467AE">
        <w:trPr>
          <w:trHeight w:val="13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656AB2" w:rsidRDefault="00656AB2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MO LUČICE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80716D" w:rsidP="008071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bottom"/>
          </w:tcPr>
          <w:p w:rsidR="00656AB2" w:rsidRDefault="00656A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6AB2" w:rsidTr="003467AE">
        <w:trPr>
          <w:trHeight w:val="13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656AB2" w:rsidRDefault="00656AB2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MO CRNI LUG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8071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bottom"/>
          </w:tcPr>
          <w:p w:rsidR="00656AB2" w:rsidRDefault="00656A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6AB2" w:rsidTr="003467AE">
        <w:trPr>
          <w:trHeight w:val="137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656AB2" w:rsidRDefault="00656AB2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MO BROD NA KUPI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3467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bottom"/>
          </w:tcPr>
          <w:p w:rsidR="00656AB2" w:rsidRDefault="00656A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6AB2" w:rsidTr="003467AE">
        <w:trPr>
          <w:trHeight w:val="255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656AB2" w:rsidRDefault="00656AB2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MO TURKE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3467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bottom"/>
          </w:tcPr>
          <w:p w:rsidR="00656AB2" w:rsidRDefault="00656A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6AB2" w:rsidTr="00656AB2">
        <w:trPr>
          <w:trHeight w:val="255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656AB2" w:rsidRDefault="00656AB2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Ukupno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3467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72,14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bottom"/>
            <w:hideMark/>
          </w:tcPr>
          <w:p w:rsidR="00656AB2" w:rsidRDefault="00A34ABE" w:rsidP="003467A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  <w:r w:rsidR="00470A1B">
              <w:rPr>
                <w:rFonts w:ascii="Arial" w:hAnsi="Arial" w:cs="Arial"/>
                <w:sz w:val="18"/>
                <w:szCs w:val="18"/>
              </w:rPr>
              <w:t>0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.000,00</w:t>
            </w:r>
          </w:p>
        </w:tc>
      </w:tr>
      <w:tr w:rsidR="00656AB2" w:rsidTr="00EB78B8">
        <w:trPr>
          <w:trHeight w:val="255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656AB2" w:rsidRDefault="00656AB2">
            <w:pPr>
              <w:rPr>
                <w:rFonts w:ascii="Arial" w:hAnsi="Arial" w:cs="Arial"/>
                <w:b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>SANACIJA I REKONSTRUKCIJA CESTA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bottom"/>
          </w:tcPr>
          <w:p w:rsidR="00656AB2" w:rsidRDefault="00A34ABE" w:rsidP="00A34AB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475.000</w:t>
            </w:r>
            <w:r w:rsidR="00EB78B8">
              <w:rPr>
                <w:rFonts w:ascii="Arial" w:hAnsi="Arial" w:cs="Arial"/>
                <w:b/>
                <w:sz w:val="18"/>
                <w:szCs w:val="18"/>
              </w:rPr>
              <w:t>,00</w:t>
            </w:r>
          </w:p>
        </w:tc>
      </w:tr>
      <w:tr w:rsidR="00656AB2" w:rsidTr="00656AB2">
        <w:trPr>
          <w:trHeight w:val="450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 w:rsidP="00EB78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B78B8">
              <w:rPr>
                <w:rFonts w:ascii="Arial" w:hAnsi="Arial" w:cs="Arial"/>
                <w:sz w:val="18"/>
                <w:szCs w:val="18"/>
              </w:rPr>
              <w:t>udarne rupe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krpanje udarnih rupa predviđa se u dvije faze:</w:t>
            </w:r>
            <w:r>
              <w:rPr>
                <w:rFonts w:ascii="Arial" w:hAnsi="Arial" w:cs="Arial"/>
                <w:sz w:val="18"/>
                <w:szCs w:val="18"/>
              </w:rPr>
              <w:br/>
              <w:t>- proljetno krpanje rupa tokom travnja ili svibnja bez rezanja i posebne obrade rupa kako bi se sanirale posljedice zimskog perioda i to u Delnicama, Lučicama, Crnom Lugu i Brod na Kupi a u obimu ovisno o stupnju oštećenja koje se konstatira pregledom terena.</w:t>
            </w:r>
            <w:r>
              <w:rPr>
                <w:rFonts w:ascii="Arial" w:hAnsi="Arial" w:cs="Arial"/>
                <w:sz w:val="18"/>
                <w:szCs w:val="18"/>
              </w:rPr>
              <w:br/>
              <w:t>- jesensko krpanje rupa kao priprema za predstojeći zimski period u kojem se predviđa pojedina oštećenja sanirati kvalitetnije a odluka o tome donosi se nakon obilaska terena.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- saniranje oštećenja na makadam cestama u što je uključeno i izvođenje potrebnih radnji na oborinskoj odvodnji. </w:t>
            </w:r>
            <w:r>
              <w:rPr>
                <w:rFonts w:ascii="Arial" w:hAnsi="Arial" w:cs="Arial"/>
                <w:sz w:val="18"/>
                <w:szCs w:val="18"/>
              </w:rPr>
              <w:br/>
              <w:t>- s obzirom da je teško predvidjeti gdje i u kojem obimu će se pojaviti određeno oštećenje, konkretni zahvati biti će definirani nakon obilaska terena u svakom pojedinačnom nalogu za izvođenje radova.</w:t>
            </w:r>
            <w:r>
              <w:rPr>
                <w:rFonts w:ascii="Arial" w:hAnsi="Arial" w:cs="Arial"/>
                <w:sz w:val="18"/>
                <w:szCs w:val="18"/>
              </w:rPr>
              <w:br/>
              <w:t>- radovi se izvode prema cjeniku iz Ugovora o održavanju nerazvrstanih cesta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Default="00EB78B8" w:rsidP="00A34AB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A34ABE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0.</w:t>
            </w:r>
            <w:r w:rsidR="00656AB2">
              <w:rPr>
                <w:rFonts w:ascii="Arial" w:hAnsi="Arial" w:cs="Arial"/>
                <w:sz w:val="18"/>
                <w:szCs w:val="18"/>
              </w:rPr>
              <w:t>000,00</w:t>
            </w:r>
          </w:p>
        </w:tc>
      </w:tr>
      <w:tr w:rsidR="00656AB2" w:rsidTr="00656AB2">
        <w:trPr>
          <w:trHeight w:val="255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razni nepredviđeni popravci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- hitne intervencije na nerazvrstanim cestama koje se odnose na popravak cesta, oborinske odvodnje i sl. a koje se nisu mogle predvidjeti, nepredviđeni radovi kao posljedica određenih građevinskih radova u Delnicama i okolnim naseljima a koji se odnose na čišćenje, uređenje deponija građevinskog materijala, sitni građevinski radovi i popravci nastali uslijed korištenja prometnica i javnih površina. Hitne intervencije uslijed vremenskih nepogoda i oštećenja nastalih uslijed dotrajalosti cesta.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Default="00A34ABE" w:rsidP="00EB78B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  <w:r w:rsidR="00656AB2">
              <w:rPr>
                <w:rFonts w:ascii="Arial" w:hAnsi="Arial" w:cs="Arial"/>
                <w:sz w:val="18"/>
                <w:szCs w:val="18"/>
              </w:rPr>
              <w:t>.000,00</w:t>
            </w:r>
          </w:p>
        </w:tc>
      </w:tr>
      <w:tr w:rsidR="00656AB2" w:rsidTr="00656AB2">
        <w:trPr>
          <w:trHeight w:val="255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sanacija makadam cesta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- radovi na makadam cestama na teritoriju Grada Delnica koji se sastoje od zemljanih radova, pripreme podloge za sanaciju vododerina u smislu ugradnje novog tamponskog sloja, odvodnih fila, uređenje propusta i odvodnih kanala, sanacija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berma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 bankina i sl.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Default="00A34AB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60.000,00</w:t>
            </w:r>
          </w:p>
        </w:tc>
      </w:tr>
      <w:tr w:rsidR="00656AB2" w:rsidTr="00656AB2">
        <w:trPr>
          <w:trHeight w:val="255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343.3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pojačano održavanje nerazvrstanih cesta na području Grada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za potrebe obnove većih površina oštećenog asfalta gdje više nije moguće vršiti pojedinačne zahvate na krpanju rupa već će se morati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preasfaltrirati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čitava površina. To je slučaj na asfaltnim površinama u manjim mjestima (Turni,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Ševali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Velika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Lešnica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ili u ulicama Delnica koje nisu duži period pojačano održavane. Točne lokacije određuju se nakon zimskog perioda i snimka stanja prometnica. Radovi se vrše prema troškovniku radova koji izrađuju stručne službe Grada Delnica a temeljem cjenika koji je sastavni dio ugovora o održavanju nerazvrstanih cesta. Za pojačano održavanje nerazvrstanih cesta biti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će potrebno izraditi idejne projekte i troškovnike radova te vršiti stručni i obračunski nadzor ovisno o veličini zahvata na samom objektu.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Default="00656AB2" w:rsidP="00EB78B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 w:rsidR="00EB78B8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5.000,00</w:t>
            </w:r>
          </w:p>
        </w:tc>
      </w:tr>
      <w:tr w:rsidR="00656AB2" w:rsidTr="00656AB2">
        <w:trPr>
          <w:trHeight w:val="255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OBORINSKA ODVODNJA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Default="00A34AB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70</w:t>
            </w:r>
            <w:r w:rsidR="00656AB2">
              <w:rPr>
                <w:rFonts w:ascii="Arial" w:hAnsi="Arial" w:cs="Arial"/>
                <w:b/>
                <w:sz w:val="18"/>
                <w:szCs w:val="18"/>
              </w:rPr>
              <w:t>.000,00</w:t>
            </w:r>
          </w:p>
        </w:tc>
      </w:tr>
      <w:tr w:rsidR="00656AB2" w:rsidTr="00656AB2">
        <w:trPr>
          <w:trHeight w:val="255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- čišćenje slivnika 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upojnih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bunara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obuhvaća radove na čišćenju slivnika i cijevi oborinske odvodnje u naselju Delnice prvenstveno 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Lujzinskoj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Supilovoj, Amerikanskoj 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upojnih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bunara u Delnicama (u ulici Bana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J.Jelačića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Šet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I.G.Kovačića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u Sajmišnoj, Kamenitoj ulici, u ulici Kralja Petra Krešimira IV, kod Srednje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škole,i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dr.), te, prema potrebi, i čišćenje slivnika u Brodu na Kupi i Crnom Lugu, a sve prema cjeniku iz Ugovora o čišćenju i održavanju slivnika oborinske kanalizacije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Default="00A34AB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656AB2">
              <w:rPr>
                <w:rFonts w:ascii="Arial" w:hAnsi="Arial" w:cs="Arial"/>
                <w:sz w:val="18"/>
                <w:szCs w:val="18"/>
              </w:rPr>
              <w:t>0.000,00</w:t>
            </w:r>
          </w:p>
        </w:tc>
      </w:tr>
      <w:tr w:rsidR="00656AB2" w:rsidTr="00656AB2">
        <w:trPr>
          <w:trHeight w:val="255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- razni nepredviđeni popravci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tijekom godine potrebno je izvršiti  rekonstrukciju  i interpolaciju pojedinih dijelova oborinske kanalizacije koja je dotrajala, a nemoguće je predvidjeti na kojem mjestu i u kojem obimu će se radovi izvršavati. Najveći zahvati događaju se na mjestima gdje su stare betonske cijevi koje se uslijed ispiranja tla urušavaju.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Default="00A34AB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656AB2">
              <w:rPr>
                <w:rFonts w:ascii="Arial" w:hAnsi="Arial" w:cs="Arial"/>
                <w:sz w:val="18"/>
                <w:szCs w:val="18"/>
              </w:rPr>
              <w:t>0.000,00</w:t>
            </w:r>
          </w:p>
        </w:tc>
      </w:tr>
      <w:tr w:rsidR="00656AB2" w:rsidTr="00656AB2">
        <w:trPr>
          <w:trHeight w:val="255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HORIZONTALNA I VERTIKALNA SIGNALIZACIJA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Default="00EB78B8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50.</w:t>
            </w:r>
            <w:r w:rsidR="00656AB2">
              <w:rPr>
                <w:rFonts w:ascii="Arial" w:hAnsi="Arial" w:cs="Arial"/>
                <w:b/>
                <w:sz w:val="18"/>
                <w:szCs w:val="18"/>
              </w:rPr>
              <w:t>000,00</w:t>
            </w:r>
          </w:p>
        </w:tc>
      </w:tr>
      <w:tr w:rsidR="00656AB2" w:rsidTr="00656AB2">
        <w:trPr>
          <w:trHeight w:val="255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 w:rsidP="00656AB2">
            <w:pPr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popravak i održavanje horizontalne signalizacije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obilaskom terena utvrđuje se potreba bojenja horizontalne signalizacije - obilježavanje pješačkih prijelaza, parkirališta, voznih traka, postavljanje odbojnika i sl., a poslovi se obavljaju osnovom ugovora sa komunalnim poduzećem Risnjak-Delnice d.o.o.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Default="00EB78B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  <w:r w:rsidR="00656AB2">
              <w:rPr>
                <w:rFonts w:ascii="Arial" w:hAnsi="Arial" w:cs="Arial"/>
                <w:sz w:val="18"/>
                <w:szCs w:val="18"/>
              </w:rPr>
              <w:t>.000,00</w:t>
            </w:r>
          </w:p>
        </w:tc>
      </w:tr>
      <w:tr w:rsidR="00656AB2" w:rsidTr="00656AB2">
        <w:trPr>
          <w:trHeight w:val="255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 w:rsidP="00656AB2">
            <w:pPr>
              <w:numPr>
                <w:ilvl w:val="0"/>
                <w:numId w:val="1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popravak i održavanje vertikalne signalizacije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-prema potrebi planira se postava, nabava i popravak prometnih znakova, semafora i slično na svim nerazvrstanim cestama i javnim površinama na teritoriju Grada Delnica, a poslovi se obavljaju osnovom ugovora sa komunalnim poduzećem Risnjak-Delnice d.o.o.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Default="00EB78B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656AB2">
              <w:rPr>
                <w:rFonts w:ascii="Arial" w:hAnsi="Arial" w:cs="Arial"/>
                <w:sz w:val="18"/>
                <w:szCs w:val="18"/>
              </w:rPr>
              <w:t>5.000,00</w:t>
            </w:r>
          </w:p>
        </w:tc>
      </w:tr>
      <w:tr w:rsidR="00656AB2" w:rsidTr="00656AB2">
        <w:trPr>
          <w:trHeight w:val="255"/>
        </w:trPr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6AB2" w:rsidRDefault="00656AB2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077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:rsidR="00656AB2" w:rsidRDefault="00656A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UKUPNO 2.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Default="00EB78B8" w:rsidP="00A34AB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  <w:r w:rsidR="00A34ABE">
              <w:rPr>
                <w:rFonts w:ascii="Arial" w:hAnsi="Arial" w:cs="Arial"/>
                <w:b/>
                <w:bCs/>
                <w:sz w:val="18"/>
                <w:szCs w:val="18"/>
              </w:rPr>
              <w:t>495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.000,00</w:t>
            </w:r>
          </w:p>
        </w:tc>
      </w:tr>
      <w:tr w:rsidR="00656AB2" w:rsidTr="00656AB2">
        <w:trPr>
          <w:trHeight w:val="255"/>
        </w:trPr>
        <w:tc>
          <w:tcPr>
            <w:tcW w:w="381" w:type="dxa"/>
            <w:vMerge w:val="restar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56AB2" w:rsidRDefault="00656A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6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656AB2" w:rsidRDefault="00656AB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ODRŽAVANJE JAVNE RASVJETE</w:t>
            </w:r>
          </w:p>
        </w:tc>
        <w:tc>
          <w:tcPr>
            <w:tcW w:w="58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56AB2" w:rsidRDefault="00656A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6AB2" w:rsidTr="00656AB2">
        <w:trPr>
          <w:trHeight w:val="255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347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- održavanje javne rasvjete</w:t>
            </w:r>
          </w:p>
        </w:tc>
        <w:tc>
          <w:tcPr>
            <w:tcW w:w="58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- u skladu s omjerom zastupljenosti javne rasvjete u pojedinim naseljima te u skladu s njenom starosti prema dojavama s terena i mjesečnim pregledima izvršiti će se popravak javne rasvjete a prema Ugovoru o održavanju javne rasvjete kojim su definirane jedinične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cijene.Grad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Delnice ima ukupno 980 rasvjetnih. Živine svjetiljke se kontinuirano mijenjaju natrijevim u skladu s zakonskom obvezom. Očekuje se stoga više zahvata na stupovima koji su stari i oštećeni, te zamjeni kablova koji su također u vrlo lošem stanju. 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Default="00EB78B8" w:rsidP="00A34AB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A34ABE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56AB2">
              <w:rPr>
                <w:rFonts w:ascii="Arial" w:hAnsi="Arial" w:cs="Arial"/>
                <w:sz w:val="18"/>
                <w:szCs w:val="18"/>
              </w:rPr>
              <w:t>.000,00</w:t>
            </w:r>
          </w:p>
        </w:tc>
      </w:tr>
      <w:tr w:rsidR="00656AB2" w:rsidTr="00656AB2">
        <w:trPr>
          <w:trHeight w:val="255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349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- utrošak električne energije za javnu rasvjetu</w:t>
            </w:r>
          </w:p>
        </w:tc>
        <w:tc>
          <w:tcPr>
            <w:tcW w:w="58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- prema dosadašnjim iskustvima u potrošnji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el.energije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 javnu rasvjetu a uračunavajući sva proširenja te ugradnju štednih svjetiljki predviđaju se sredstva za tu namjenu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56AB2" w:rsidRDefault="00A34AB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  <w:r w:rsidR="00656AB2">
              <w:rPr>
                <w:rFonts w:ascii="Arial" w:hAnsi="Arial" w:cs="Arial"/>
                <w:sz w:val="18"/>
                <w:szCs w:val="18"/>
              </w:rPr>
              <w:t>.000,00</w:t>
            </w:r>
          </w:p>
          <w:p w:rsidR="00656AB2" w:rsidRDefault="00656A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6AB2" w:rsidTr="00656AB2">
        <w:trPr>
          <w:trHeight w:val="255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- razni nepredviđeni radovi</w:t>
            </w:r>
          </w:p>
        </w:tc>
        <w:tc>
          <w:tcPr>
            <w:tcW w:w="58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hitne intervencije koje su uzrokovane nepredviđenim oštećenjima na javnoj rasvjeti ili nepredviđenim potrebama za interpolaciju i sl.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Default="00A34AB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</w:t>
            </w:r>
            <w:r w:rsidR="00656AB2">
              <w:rPr>
                <w:rFonts w:ascii="Arial" w:hAnsi="Arial" w:cs="Arial"/>
                <w:sz w:val="18"/>
                <w:szCs w:val="18"/>
              </w:rPr>
              <w:t>000,00</w:t>
            </w:r>
          </w:p>
        </w:tc>
      </w:tr>
      <w:tr w:rsidR="00656AB2" w:rsidTr="00656AB2">
        <w:trPr>
          <w:trHeight w:val="255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656AB2" w:rsidRDefault="00656AB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58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UKUPNO 3.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bottom"/>
            <w:hideMark/>
          </w:tcPr>
          <w:p w:rsidR="00656AB2" w:rsidRDefault="00A34ABE" w:rsidP="00A34AB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420.000,00</w:t>
            </w:r>
          </w:p>
        </w:tc>
      </w:tr>
      <w:tr w:rsidR="00656AB2" w:rsidTr="00656AB2">
        <w:trPr>
          <w:trHeight w:val="255"/>
        </w:trPr>
        <w:tc>
          <w:tcPr>
            <w:tcW w:w="381" w:type="dxa"/>
            <w:vMerge w:val="restar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56AB2" w:rsidRDefault="00656A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4.</w:t>
            </w:r>
          </w:p>
        </w:tc>
        <w:tc>
          <w:tcPr>
            <w:tcW w:w="16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  <w:hideMark/>
          </w:tcPr>
          <w:p w:rsidR="00656AB2" w:rsidRDefault="00656AB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ODRŽAVANJE GROBLJA</w:t>
            </w:r>
          </w:p>
        </w:tc>
        <w:tc>
          <w:tcPr>
            <w:tcW w:w="58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56AB2" w:rsidRDefault="00656A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56AB2" w:rsidTr="00656AB2">
        <w:trPr>
          <w:trHeight w:val="255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351.1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- čišćenje, košnja, popravci mrtvačnica</w:t>
            </w:r>
          </w:p>
        </w:tc>
        <w:tc>
          <w:tcPr>
            <w:tcW w:w="58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ova aktivnost odnosi se na pomoć iz proračuna da se pokrije izvedene radove na tekućem održavanju koji se ne mogu financirati iz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grobarina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manji popravci na objektima mrtvačnica (popravak krova, konstrukcije, stolarije i uređenja okoliša mrtvačnice) i sl. Radovi se izvode preko komunalne tvrtke „Risnjak“ d.o.o. Delnice s kojom Grad ima sklopljen Ugovor o održavanju.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Default="00A34AB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56AB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656AB2" w:rsidTr="00656AB2">
        <w:trPr>
          <w:trHeight w:val="255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352.1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- razni nepredviđeni radovi</w:t>
            </w:r>
          </w:p>
        </w:tc>
        <w:tc>
          <w:tcPr>
            <w:tcW w:w="58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pripomoć pri uređenju groblja na teritoriju Grada Delnica poduzeću Risnjak-Delnice d.o.o. koje je zaduženo za održavanje groblja a odnosi se na Nabavku opreme i sitne građevinske radove na infrastrukturi i stazama - groblja u Delnicama,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Turkima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Razlogama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Crnom Lugu,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Kuželju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Hrvatskom, Marija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Troštu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Zagoliku</w:t>
            </w:r>
            <w:proofErr w:type="spellEnd"/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Default="00470A1B" w:rsidP="00470A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656AB2" w:rsidTr="00656AB2">
        <w:trPr>
          <w:trHeight w:val="255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6AB2" w:rsidRDefault="00656AB2">
            <w:pPr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bottom"/>
          </w:tcPr>
          <w:p w:rsidR="00656AB2" w:rsidRDefault="00656AB2">
            <w:pPr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UKUPNO 4.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656AB2" w:rsidRDefault="00470A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</w:tr>
      <w:tr w:rsidR="00656AB2" w:rsidTr="00656AB2">
        <w:trPr>
          <w:trHeight w:val="255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Sveukupno 1+2+3+4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:rsidR="00656AB2" w:rsidRDefault="003C553A" w:rsidP="00376A9D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2.880</w:t>
            </w:r>
            <w:r w:rsidR="00376A9D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A65B86">
              <w:rPr>
                <w:rFonts w:ascii="Arial" w:hAnsi="Arial" w:cs="Arial"/>
                <w:b/>
                <w:sz w:val="22"/>
                <w:szCs w:val="22"/>
              </w:rPr>
              <w:t>000,00</w:t>
            </w:r>
          </w:p>
        </w:tc>
      </w:tr>
      <w:tr w:rsidR="00656AB2" w:rsidTr="00656AB2">
        <w:trPr>
          <w:trHeight w:val="255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656AB2" w:rsidRDefault="00656AB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IZVORI FINANCIRANJA</w:t>
            </w:r>
          </w:p>
        </w:tc>
      </w:tr>
      <w:tr w:rsidR="00656AB2" w:rsidTr="00A65B86">
        <w:trPr>
          <w:trHeight w:val="255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 w:rsidP="00330D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Komunalna naknada za 201</w:t>
            </w:r>
            <w:r w:rsidR="00330D1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6AB2" w:rsidRDefault="00656AB2" w:rsidP="00330D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Redovni priliv sredstava po osnovi komunalne naknade za 201</w:t>
            </w:r>
            <w:r w:rsidR="00330D1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56AB2" w:rsidRDefault="003C553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2.810</w:t>
            </w:r>
            <w:r w:rsidR="00CF65B6">
              <w:rPr>
                <w:rFonts w:ascii="Arial" w:hAnsi="Arial" w:cs="Arial"/>
                <w:sz w:val="18"/>
                <w:szCs w:val="18"/>
              </w:rPr>
              <w:t>.000,00</w:t>
            </w:r>
          </w:p>
        </w:tc>
      </w:tr>
      <w:tr w:rsidR="00656AB2" w:rsidTr="00A65B86">
        <w:trPr>
          <w:trHeight w:val="255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Prihodi od zakupa javnih površina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56AB2" w:rsidRDefault="00376A9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70.000,00</w:t>
            </w:r>
          </w:p>
        </w:tc>
      </w:tr>
      <w:tr w:rsidR="00656AB2" w:rsidTr="00A65B86">
        <w:trPr>
          <w:trHeight w:val="255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2" w:rsidRDefault="00656AB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56AB2" w:rsidRDefault="00656A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6AB2" w:rsidTr="00A65B86">
        <w:trPr>
          <w:trHeight w:val="255"/>
        </w:trPr>
        <w:tc>
          <w:tcPr>
            <w:tcW w:w="200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56AB2" w:rsidRDefault="00656AB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7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56AB2" w:rsidRDefault="00656AB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Ukupno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656AB2" w:rsidRDefault="003C553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2.880</w:t>
            </w:r>
            <w:r w:rsidR="00376A9D">
              <w:rPr>
                <w:rFonts w:ascii="Arial" w:hAnsi="Arial" w:cs="Arial"/>
                <w:b/>
                <w:sz w:val="18"/>
                <w:szCs w:val="18"/>
              </w:rPr>
              <w:t>.000,00</w:t>
            </w:r>
          </w:p>
        </w:tc>
      </w:tr>
    </w:tbl>
    <w:p w:rsidR="00656AB2" w:rsidRDefault="00656AB2" w:rsidP="00656AB2">
      <w:pPr>
        <w:jc w:val="center"/>
        <w:rPr>
          <w:b/>
        </w:rPr>
      </w:pPr>
    </w:p>
    <w:p w:rsidR="00656AB2" w:rsidRDefault="00656AB2" w:rsidP="00656AB2">
      <w:pPr>
        <w:jc w:val="center"/>
        <w:rPr>
          <w:b/>
        </w:rPr>
      </w:pPr>
      <w:r>
        <w:rPr>
          <w:b/>
        </w:rPr>
        <w:t>Članak 3.</w:t>
      </w:r>
    </w:p>
    <w:p w:rsidR="00656AB2" w:rsidRDefault="00656AB2" w:rsidP="00656AB2">
      <w:pPr>
        <w:ind w:firstLine="540"/>
        <w:jc w:val="both"/>
      </w:pPr>
      <w:r>
        <w:t>Dinamika izvođenja radova uskladiti će se s dinamikom ostvarivanja prihoda navedenih u članku 2. ovog Programa.</w:t>
      </w:r>
    </w:p>
    <w:p w:rsidR="00656AB2" w:rsidRDefault="00656AB2" w:rsidP="00656AB2"/>
    <w:p w:rsidR="00656AB2" w:rsidRDefault="00656AB2" w:rsidP="00656AB2">
      <w:pPr>
        <w:jc w:val="center"/>
        <w:rPr>
          <w:b/>
        </w:rPr>
      </w:pPr>
      <w:r>
        <w:rPr>
          <w:b/>
        </w:rPr>
        <w:t>Članak 4.</w:t>
      </w:r>
    </w:p>
    <w:p w:rsidR="00656AB2" w:rsidRDefault="00656AB2" w:rsidP="00656AB2">
      <w:pPr>
        <w:ind w:firstLine="540"/>
        <w:jc w:val="both"/>
      </w:pPr>
      <w:r>
        <w:t xml:space="preserve">Ovoj Program stupa na snagu osmog dana od objave u Službenim novinama </w:t>
      </w:r>
      <w:r w:rsidR="00A65B86">
        <w:t>Grada Delnica</w:t>
      </w:r>
      <w:r>
        <w:t>.</w:t>
      </w:r>
    </w:p>
    <w:p w:rsidR="00656AB2" w:rsidRDefault="00656AB2" w:rsidP="00656AB2">
      <w:pPr>
        <w:jc w:val="both"/>
      </w:pPr>
    </w:p>
    <w:p w:rsidR="00656AB2" w:rsidRDefault="00656AB2" w:rsidP="00656AB2">
      <w:pPr>
        <w:jc w:val="center"/>
        <w:rPr>
          <w:b/>
        </w:rPr>
      </w:pPr>
      <w:r>
        <w:rPr>
          <w:b/>
        </w:rPr>
        <w:t>GRADSKO VIJEĆE GRADA DELNICA</w:t>
      </w:r>
    </w:p>
    <w:p w:rsidR="00656AB2" w:rsidRDefault="00656AB2" w:rsidP="00656AB2">
      <w:pPr>
        <w:jc w:val="center"/>
        <w:rPr>
          <w:b/>
        </w:rPr>
      </w:pPr>
    </w:p>
    <w:p w:rsidR="00656AB2" w:rsidRDefault="00656AB2" w:rsidP="00656AB2">
      <w:pPr>
        <w:jc w:val="center"/>
        <w:rPr>
          <w:b/>
        </w:rPr>
      </w:pPr>
      <w:r>
        <w:rPr>
          <w:b/>
        </w:rPr>
        <w:t>Predsjednica</w:t>
      </w:r>
    </w:p>
    <w:p w:rsidR="00656AB2" w:rsidRDefault="00656AB2" w:rsidP="00656AB2">
      <w:pPr>
        <w:jc w:val="center"/>
        <w:rPr>
          <w:b/>
        </w:rPr>
      </w:pPr>
      <w:r>
        <w:rPr>
          <w:b/>
        </w:rPr>
        <w:t>Nada Glad</w:t>
      </w:r>
    </w:p>
    <w:p w:rsidR="00656AB2" w:rsidRDefault="00656AB2" w:rsidP="00656AB2"/>
    <w:p w:rsidR="00656AB2" w:rsidRDefault="00656AB2" w:rsidP="00656AB2"/>
    <w:p w:rsidR="00656AB2" w:rsidRDefault="00656AB2" w:rsidP="00FA6BD8">
      <w:pPr>
        <w:tabs>
          <w:tab w:val="left" w:pos="4320"/>
        </w:tabs>
        <w:ind w:right="4752"/>
        <w:jc w:val="center"/>
        <w:rPr>
          <w:b/>
        </w:rPr>
      </w:pPr>
    </w:p>
    <w:sectPr w:rsidR="00656AB2" w:rsidSect="00656AB2">
      <w:pgSz w:w="16838" w:h="11906" w:orient="landscape"/>
      <w:pgMar w:top="1417" w:right="993" w:bottom="1417" w:left="11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E6B33"/>
    <w:multiLevelType w:val="hybridMultilevel"/>
    <w:tmpl w:val="63264798"/>
    <w:lvl w:ilvl="0" w:tplc="FCAA9C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8063CE"/>
    <w:multiLevelType w:val="hybridMultilevel"/>
    <w:tmpl w:val="550E5BC2"/>
    <w:lvl w:ilvl="0" w:tplc="BD1664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487DD7"/>
    <w:multiLevelType w:val="hybridMultilevel"/>
    <w:tmpl w:val="DD080F06"/>
    <w:lvl w:ilvl="0" w:tplc="59E625A0">
      <w:start w:val="1"/>
      <w:numFmt w:val="upperLetter"/>
      <w:lvlText w:val="%1."/>
      <w:lvlJc w:val="left"/>
      <w:pPr>
        <w:ind w:left="53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42" w:hanging="360"/>
      </w:pPr>
    </w:lvl>
    <w:lvl w:ilvl="2" w:tplc="041A001B" w:tentative="1">
      <w:start w:val="1"/>
      <w:numFmt w:val="lowerRoman"/>
      <w:lvlText w:val="%3."/>
      <w:lvlJc w:val="right"/>
      <w:pPr>
        <w:ind w:left="6762" w:hanging="180"/>
      </w:pPr>
    </w:lvl>
    <w:lvl w:ilvl="3" w:tplc="041A000F" w:tentative="1">
      <w:start w:val="1"/>
      <w:numFmt w:val="decimal"/>
      <w:lvlText w:val="%4."/>
      <w:lvlJc w:val="left"/>
      <w:pPr>
        <w:ind w:left="7482" w:hanging="360"/>
      </w:pPr>
    </w:lvl>
    <w:lvl w:ilvl="4" w:tplc="041A0019" w:tentative="1">
      <w:start w:val="1"/>
      <w:numFmt w:val="lowerLetter"/>
      <w:lvlText w:val="%5."/>
      <w:lvlJc w:val="left"/>
      <w:pPr>
        <w:ind w:left="8202" w:hanging="360"/>
      </w:pPr>
    </w:lvl>
    <w:lvl w:ilvl="5" w:tplc="041A001B" w:tentative="1">
      <w:start w:val="1"/>
      <w:numFmt w:val="lowerRoman"/>
      <w:lvlText w:val="%6."/>
      <w:lvlJc w:val="right"/>
      <w:pPr>
        <w:ind w:left="8922" w:hanging="180"/>
      </w:pPr>
    </w:lvl>
    <w:lvl w:ilvl="6" w:tplc="041A000F" w:tentative="1">
      <w:start w:val="1"/>
      <w:numFmt w:val="decimal"/>
      <w:lvlText w:val="%7."/>
      <w:lvlJc w:val="left"/>
      <w:pPr>
        <w:ind w:left="9642" w:hanging="360"/>
      </w:pPr>
    </w:lvl>
    <w:lvl w:ilvl="7" w:tplc="041A0019" w:tentative="1">
      <w:start w:val="1"/>
      <w:numFmt w:val="lowerLetter"/>
      <w:lvlText w:val="%8."/>
      <w:lvlJc w:val="left"/>
      <w:pPr>
        <w:ind w:left="10362" w:hanging="360"/>
      </w:pPr>
    </w:lvl>
    <w:lvl w:ilvl="8" w:tplc="041A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3" w15:restartNumberingAfterBreak="0">
    <w:nsid w:val="138D3083"/>
    <w:multiLevelType w:val="hybridMultilevel"/>
    <w:tmpl w:val="0F966EAC"/>
    <w:lvl w:ilvl="0" w:tplc="A42EFB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BA4DDA"/>
    <w:multiLevelType w:val="hybridMultilevel"/>
    <w:tmpl w:val="FC4A2C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56515"/>
    <w:multiLevelType w:val="hybridMultilevel"/>
    <w:tmpl w:val="645CB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85257"/>
    <w:multiLevelType w:val="hybridMultilevel"/>
    <w:tmpl w:val="A4ACD770"/>
    <w:lvl w:ilvl="0" w:tplc="EB500C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AA780E"/>
    <w:multiLevelType w:val="hybridMultilevel"/>
    <w:tmpl w:val="A5D8F800"/>
    <w:lvl w:ilvl="0" w:tplc="D27684AE">
      <w:start w:val="7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1E7C1F"/>
    <w:multiLevelType w:val="hybridMultilevel"/>
    <w:tmpl w:val="88DA8D4E"/>
    <w:lvl w:ilvl="0" w:tplc="EDDE0D38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42" w:hanging="360"/>
      </w:pPr>
    </w:lvl>
    <w:lvl w:ilvl="2" w:tplc="041A001B" w:tentative="1">
      <w:start w:val="1"/>
      <w:numFmt w:val="lowerRoman"/>
      <w:lvlText w:val="%3."/>
      <w:lvlJc w:val="right"/>
      <w:pPr>
        <w:ind w:left="6762" w:hanging="180"/>
      </w:pPr>
    </w:lvl>
    <w:lvl w:ilvl="3" w:tplc="041A000F" w:tentative="1">
      <w:start w:val="1"/>
      <w:numFmt w:val="decimal"/>
      <w:lvlText w:val="%4."/>
      <w:lvlJc w:val="left"/>
      <w:pPr>
        <w:ind w:left="7482" w:hanging="360"/>
      </w:pPr>
    </w:lvl>
    <w:lvl w:ilvl="4" w:tplc="041A0019" w:tentative="1">
      <w:start w:val="1"/>
      <w:numFmt w:val="lowerLetter"/>
      <w:lvlText w:val="%5."/>
      <w:lvlJc w:val="left"/>
      <w:pPr>
        <w:ind w:left="8202" w:hanging="360"/>
      </w:pPr>
    </w:lvl>
    <w:lvl w:ilvl="5" w:tplc="041A001B" w:tentative="1">
      <w:start w:val="1"/>
      <w:numFmt w:val="lowerRoman"/>
      <w:lvlText w:val="%6."/>
      <w:lvlJc w:val="right"/>
      <w:pPr>
        <w:ind w:left="8922" w:hanging="180"/>
      </w:pPr>
    </w:lvl>
    <w:lvl w:ilvl="6" w:tplc="041A000F" w:tentative="1">
      <w:start w:val="1"/>
      <w:numFmt w:val="decimal"/>
      <w:lvlText w:val="%7."/>
      <w:lvlJc w:val="left"/>
      <w:pPr>
        <w:ind w:left="9642" w:hanging="360"/>
      </w:pPr>
    </w:lvl>
    <w:lvl w:ilvl="7" w:tplc="041A0019" w:tentative="1">
      <w:start w:val="1"/>
      <w:numFmt w:val="lowerLetter"/>
      <w:lvlText w:val="%8."/>
      <w:lvlJc w:val="left"/>
      <w:pPr>
        <w:ind w:left="10362" w:hanging="360"/>
      </w:pPr>
    </w:lvl>
    <w:lvl w:ilvl="8" w:tplc="041A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9" w15:restartNumberingAfterBreak="0">
    <w:nsid w:val="3E0D401D"/>
    <w:multiLevelType w:val="hybridMultilevel"/>
    <w:tmpl w:val="C524A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FD2BD3"/>
    <w:multiLevelType w:val="hybridMultilevel"/>
    <w:tmpl w:val="86E2FC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63E6D"/>
    <w:multiLevelType w:val="hybridMultilevel"/>
    <w:tmpl w:val="5E766ADC"/>
    <w:lvl w:ilvl="0" w:tplc="BE1496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036FE3"/>
    <w:multiLevelType w:val="hybridMultilevel"/>
    <w:tmpl w:val="0854CE12"/>
    <w:lvl w:ilvl="0" w:tplc="DAC8D1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A715D4A"/>
    <w:multiLevelType w:val="hybridMultilevel"/>
    <w:tmpl w:val="645CB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452512"/>
    <w:multiLevelType w:val="hybridMultilevel"/>
    <w:tmpl w:val="3CC6CFB6"/>
    <w:lvl w:ilvl="0" w:tplc="E730A6A2">
      <w:start w:val="1"/>
      <w:numFmt w:val="upperLetter"/>
      <w:lvlText w:val="%1."/>
      <w:lvlJc w:val="left"/>
      <w:pPr>
        <w:ind w:left="53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42" w:hanging="360"/>
      </w:pPr>
    </w:lvl>
    <w:lvl w:ilvl="2" w:tplc="041A001B" w:tentative="1">
      <w:start w:val="1"/>
      <w:numFmt w:val="lowerRoman"/>
      <w:lvlText w:val="%3."/>
      <w:lvlJc w:val="right"/>
      <w:pPr>
        <w:ind w:left="6762" w:hanging="180"/>
      </w:pPr>
    </w:lvl>
    <w:lvl w:ilvl="3" w:tplc="041A000F" w:tentative="1">
      <w:start w:val="1"/>
      <w:numFmt w:val="decimal"/>
      <w:lvlText w:val="%4."/>
      <w:lvlJc w:val="left"/>
      <w:pPr>
        <w:ind w:left="7482" w:hanging="360"/>
      </w:pPr>
    </w:lvl>
    <w:lvl w:ilvl="4" w:tplc="041A0019" w:tentative="1">
      <w:start w:val="1"/>
      <w:numFmt w:val="lowerLetter"/>
      <w:lvlText w:val="%5."/>
      <w:lvlJc w:val="left"/>
      <w:pPr>
        <w:ind w:left="8202" w:hanging="360"/>
      </w:pPr>
    </w:lvl>
    <w:lvl w:ilvl="5" w:tplc="041A001B" w:tentative="1">
      <w:start w:val="1"/>
      <w:numFmt w:val="lowerRoman"/>
      <w:lvlText w:val="%6."/>
      <w:lvlJc w:val="right"/>
      <w:pPr>
        <w:ind w:left="8922" w:hanging="180"/>
      </w:pPr>
    </w:lvl>
    <w:lvl w:ilvl="6" w:tplc="041A000F" w:tentative="1">
      <w:start w:val="1"/>
      <w:numFmt w:val="decimal"/>
      <w:lvlText w:val="%7."/>
      <w:lvlJc w:val="left"/>
      <w:pPr>
        <w:ind w:left="9642" w:hanging="360"/>
      </w:pPr>
    </w:lvl>
    <w:lvl w:ilvl="7" w:tplc="041A0019" w:tentative="1">
      <w:start w:val="1"/>
      <w:numFmt w:val="lowerLetter"/>
      <w:lvlText w:val="%8."/>
      <w:lvlJc w:val="left"/>
      <w:pPr>
        <w:ind w:left="10362" w:hanging="360"/>
      </w:pPr>
    </w:lvl>
    <w:lvl w:ilvl="8" w:tplc="041A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5" w15:restartNumberingAfterBreak="0">
    <w:nsid w:val="5CB97AE2"/>
    <w:multiLevelType w:val="hybridMultilevel"/>
    <w:tmpl w:val="66065A26"/>
    <w:lvl w:ilvl="0" w:tplc="938C0D10"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 w15:restartNumberingAfterBreak="0">
    <w:nsid w:val="5F162492"/>
    <w:multiLevelType w:val="hybridMultilevel"/>
    <w:tmpl w:val="205CE472"/>
    <w:lvl w:ilvl="0" w:tplc="3E5472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A7B51C6"/>
    <w:multiLevelType w:val="hybridMultilevel"/>
    <w:tmpl w:val="645CB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0B2837"/>
    <w:multiLevelType w:val="hybridMultilevel"/>
    <w:tmpl w:val="19DC71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4"/>
  </w:num>
  <w:num w:numId="5">
    <w:abstractNumId w:val="9"/>
  </w:num>
  <w:num w:numId="6">
    <w:abstractNumId w:val="1"/>
  </w:num>
  <w:num w:numId="7">
    <w:abstractNumId w:val="8"/>
  </w:num>
  <w:num w:numId="8">
    <w:abstractNumId w:val="18"/>
  </w:num>
  <w:num w:numId="9">
    <w:abstractNumId w:val="6"/>
  </w:num>
  <w:num w:numId="10">
    <w:abstractNumId w:val="12"/>
  </w:num>
  <w:num w:numId="11">
    <w:abstractNumId w:val="3"/>
  </w:num>
  <w:num w:numId="12">
    <w:abstractNumId w:val="16"/>
  </w:num>
  <w:num w:numId="13">
    <w:abstractNumId w:val="11"/>
  </w:num>
  <w:num w:numId="14">
    <w:abstractNumId w:val="0"/>
  </w:num>
  <w:num w:numId="15">
    <w:abstractNumId w:val="14"/>
  </w:num>
  <w:num w:numId="16">
    <w:abstractNumId w:val="2"/>
  </w:num>
  <w:num w:numId="17">
    <w:abstractNumId w:val="10"/>
  </w:num>
  <w:num w:numId="18">
    <w:abstractNumId w:val="17"/>
  </w:num>
  <w:num w:numId="1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36C"/>
    <w:rsid w:val="00001B9B"/>
    <w:rsid w:val="000030AE"/>
    <w:rsid w:val="000062E9"/>
    <w:rsid w:val="00006ED5"/>
    <w:rsid w:val="00012676"/>
    <w:rsid w:val="000141FF"/>
    <w:rsid w:val="00014D2C"/>
    <w:rsid w:val="0001530B"/>
    <w:rsid w:val="00015B53"/>
    <w:rsid w:val="000172AF"/>
    <w:rsid w:val="00017628"/>
    <w:rsid w:val="0002553F"/>
    <w:rsid w:val="00027E84"/>
    <w:rsid w:val="0003306F"/>
    <w:rsid w:val="00034722"/>
    <w:rsid w:val="00034790"/>
    <w:rsid w:val="00041353"/>
    <w:rsid w:val="00044783"/>
    <w:rsid w:val="00050D1F"/>
    <w:rsid w:val="00053A86"/>
    <w:rsid w:val="000557BF"/>
    <w:rsid w:val="00056771"/>
    <w:rsid w:val="0006209C"/>
    <w:rsid w:val="00064665"/>
    <w:rsid w:val="000655F9"/>
    <w:rsid w:val="0006582B"/>
    <w:rsid w:val="00066542"/>
    <w:rsid w:val="00067BEA"/>
    <w:rsid w:val="00067F6E"/>
    <w:rsid w:val="00067FFE"/>
    <w:rsid w:val="00070B46"/>
    <w:rsid w:val="00074A6A"/>
    <w:rsid w:val="00074EE9"/>
    <w:rsid w:val="0007707C"/>
    <w:rsid w:val="0007708F"/>
    <w:rsid w:val="000818A5"/>
    <w:rsid w:val="000835E8"/>
    <w:rsid w:val="00084D21"/>
    <w:rsid w:val="00085ECC"/>
    <w:rsid w:val="00086C18"/>
    <w:rsid w:val="00094681"/>
    <w:rsid w:val="00096066"/>
    <w:rsid w:val="000A1CB0"/>
    <w:rsid w:val="000A2333"/>
    <w:rsid w:val="000A6E10"/>
    <w:rsid w:val="000A7412"/>
    <w:rsid w:val="000B1B42"/>
    <w:rsid w:val="000B2224"/>
    <w:rsid w:val="000B3561"/>
    <w:rsid w:val="000B44B7"/>
    <w:rsid w:val="000B6D2A"/>
    <w:rsid w:val="000C1D5E"/>
    <w:rsid w:val="000C2077"/>
    <w:rsid w:val="000C458D"/>
    <w:rsid w:val="000C4FF9"/>
    <w:rsid w:val="000C53F1"/>
    <w:rsid w:val="000C5FAA"/>
    <w:rsid w:val="000D1164"/>
    <w:rsid w:val="000D2EFA"/>
    <w:rsid w:val="000D5D71"/>
    <w:rsid w:val="000D67FC"/>
    <w:rsid w:val="000D79BB"/>
    <w:rsid w:val="000E2AEF"/>
    <w:rsid w:val="000E436C"/>
    <w:rsid w:val="000E7490"/>
    <w:rsid w:val="000E79C6"/>
    <w:rsid w:val="000F1167"/>
    <w:rsid w:val="000F1DFA"/>
    <w:rsid w:val="000F34C8"/>
    <w:rsid w:val="000F5152"/>
    <w:rsid w:val="001000D8"/>
    <w:rsid w:val="00101145"/>
    <w:rsid w:val="00103EE8"/>
    <w:rsid w:val="00104996"/>
    <w:rsid w:val="001056D9"/>
    <w:rsid w:val="00105F67"/>
    <w:rsid w:val="00106FBA"/>
    <w:rsid w:val="00107508"/>
    <w:rsid w:val="00107DCD"/>
    <w:rsid w:val="00112382"/>
    <w:rsid w:val="001143E4"/>
    <w:rsid w:val="00115C73"/>
    <w:rsid w:val="00116CBE"/>
    <w:rsid w:val="0011755E"/>
    <w:rsid w:val="0012025F"/>
    <w:rsid w:val="00121073"/>
    <w:rsid w:val="001234FB"/>
    <w:rsid w:val="00123858"/>
    <w:rsid w:val="00123AD7"/>
    <w:rsid w:val="001252B4"/>
    <w:rsid w:val="0012676B"/>
    <w:rsid w:val="00127C91"/>
    <w:rsid w:val="00132F2E"/>
    <w:rsid w:val="0013481F"/>
    <w:rsid w:val="00137A47"/>
    <w:rsid w:val="00144A9F"/>
    <w:rsid w:val="0015026D"/>
    <w:rsid w:val="00155732"/>
    <w:rsid w:val="00165BC8"/>
    <w:rsid w:val="00166E4E"/>
    <w:rsid w:val="0016765E"/>
    <w:rsid w:val="00175203"/>
    <w:rsid w:val="00177036"/>
    <w:rsid w:val="00177C5B"/>
    <w:rsid w:val="00180C16"/>
    <w:rsid w:val="001831EB"/>
    <w:rsid w:val="00183B7C"/>
    <w:rsid w:val="00186F18"/>
    <w:rsid w:val="001916D9"/>
    <w:rsid w:val="0019171E"/>
    <w:rsid w:val="00191C34"/>
    <w:rsid w:val="00192491"/>
    <w:rsid w:val="00197D9B"/>
    <w:rsid w:val="00197F38"/>
    <w:rsid w:val="001A1218"/>
    <w:rsid w:val="001A187D"/>
    <w:rsid w:val="001A1ECC"/>
    <w:rsid w:val="001A3115"/>
    <w:rsid w:val="001A479D"/>
    <w:rsid w:val="001A51E0"/>
    <w:rsid w:val="001A5D37"/>
    <w:rsid w:val="001B6413"/>
    <w:rsid w:val="001B6C14"/>
    <w:rsid w:val="001C2D86"/>
    <w:rsid w:val="001C4457"/>
    <w:rsid w:val="001C5D14"/>
    <w:rsid w:val="001C6C1D"/>
    <w:rsid w:val="001C70A3"/>
    <w:rsid w:val="001C7BF3"/>
    <w:rsid w:val="001D1565"/>
    <w:rsid w:val="001D386A"/>
    <w:rsid w:val="001D3FE5"/>
    <w:rsid w:val="001D4173"/>
    <w:rsid w:val="001D4FD0"/>
    <w:rsid w:val="001E109B"/>
    <w:rsid w:val="001E1C5E"/>
    <w:rsid w:val="001E1D0D"/>
    <w:rsid w:val="001E469E"/>
    <w:rsid w:val="001E4AE6"/>
    <w:rsid w:val="001F01CF"/>
    <w:rsid w:val="001F2D0B"/>
    <w:rsid w:val="001F5061"/>
    <w:rsid w:val="001F6396"/>
    <w:rsid w:val="00200762"/>
    <w:rsid w:val="00203E87"/>
    <w:rsid w:val="00205623"/>
    <w:rsid w:val="00220475"/>
    <w:rsid w:val="002205CF"/>
    <w:rsid w:val="00223BD9"/>
    <w:rsid w:val="00224BC7"/>
    <w:rsid w:val="002251B5"/>
    <w:rsid w:val="00225F63"/>
    <w:rsid w:val="00226653"/>
    <w:rsid w:val="00230A2D"/>
    <w:rsid w:val="00230F9B"/>
    <w:rsid w:val="00231B5A"/>
    <w:rsid w:val="00233E12"/>
    <w:rsid w:val="00237D29"/>
    <w:rsid w:val="002415C0"/>
    <w:rsid w:val="00245CD8"/>
    <w:rsid w:val="00251A2F"/>
    <w:rsid w:val="00253692"/>
    <w:rsid w:val="002554B0"/>
    <w:rsid w:val="00255B7D"/>
    <w:rsid w:val="002569C3"/>
    <w:rsid w:val="00260136"/>
    <w:rsid w:val="00260E20"/>
    <w:rsid w:val="0026190B"/>
    <w:rsid w:val="0026218A"/>
    <w:rsid w:val="0026422A"/>
    <w:rsid w:val="00267FD9"/>
    <w:rsid w:val="00274A5A"/>
    <w:rsid w:val="002762A1"/>
    <w:rsid w:val="00277756"/>
    <w:rsid w:val="00280EFE"/>
    <w:rsid w:val="00290E28"/>
    <w:rsid w:val="0029292C"/>
    <w:rsid w:val="00292BF0"/>
    <w:rsid w:val="002942CF"/>
    <w:rsid w:val="00296933"/>
    <w:rsid w:val="002A2181"/>
    <w:rsid w:val="002A374D"/>
    <w:rsid w:val="002A58BF"/>
    <w:rsid w:val="002A684A"/>
    <w:rsid w:val="002A781D"/>
    <w:rsid w:val="002B032D"/>
    <w:rsid w:val="002B28D5"/>
    <w:rsid w:val="002B351B"/>
    <w:rsid w:val="002B4F67"/>
    <w:rsid w:val="002B6935"/>
    <w:rsid w:val="002C0DF1"/>
    <w:rsid w:val="002C1B01"/>
    <w:rsid w:val="002C2872"/>
    <w:rsid w:val="002C59BB"/>
    <w:rsid w:val="002C69CB"/>
    <w:rsid w:val="002D012A"/>
    <w:rsid w:val="002D08B7"/>
    <w:rsid w:val="002D0A98"/>
    <w:rsid w:val="002D11D5"/>
    <w:rsid w:val="002D2AA2"/>
    <w:rsid w:val="002D2E63"/>
    <w:rsid w:val="002D4669"/>
    <w:rsid w:val="002D4867"/>
    <w:rsid w:val="002D64ED"/>
    <w:rsid w:val="002E3D21"/>
    <w:rsid w:val="002E510C"/>
    <w:rsid w:val="002F2CDD"/>
    <w:rsid w:val="002F3F0C"/>
    <w:rsid w:val="002F57F0"/>
    <w:rsid w:val="002F6ED5"/>
    <w:rsid w:val="002F74B2"/>
    <w:rsid w:val="00302D40"/>
    <w:rsid w:val="00303175"/>
    <w:rsid w:val="003036E8"/>
    <w:rsid w:val="00303E70"/>
    <w:rsid w:val="00303FBA"/>
    <w:rsid w:val="003110A0"/>
    <w:rsid w:val="00312006"/>
    <w:rsid w:val="003122DD"/>
    <w:rsid w:val="0031526C"/>
    <w:rsid w:val="00317EA9"/>
    <w:rsid w:val="0032131C"/>
    <w:rsid w:val="003223AC"/>
    <w:rsid w:val="00322EF9"/>
    <w:rsid w:val="00330D1A"/>
    <w:rsid w:val="00331DA0"/>
    <w:rsid w:val="00332CD4"/>
    <w:rsid w:val="00332F5D"/>
    <w:rsid w:val="003347CB"/>
    <w:rsid w:val="0033585F"/>
    <w:rsid w:val="003363CA"/>
    <w:rsid w:val="00341C25"/>
    <w:rsid w:val="00342807"/>
    <w:rsid w:val="003429D4"/>
    <w:rsid w:val="00345325"/>
    <w:rsid w:val="0034663F"/>
    <w:rsid w:val="003467AE"/>
    <w:rsid w:val="00347333"/>
    <w:rsid w:val="003530AF"/>
    <w:rsid w:val="00354C02"/>
    <w:rsid w:val="00355008"/>
    <w:rsid w:val="00355A41"/>
    <w:rsid w:val="0036056D"/>
    <w:rsid w:val="00362925"/>
    <w:rsid w:val="003669B2"/>
    <w:rsid w:val="003677AE"/>
    <w:rsid w:val="00372873"/>
    <w:rsid w:val="003767FC"/>
    <w:rsid w:val="00376A09"/>
    <w:rsid w:val="00376A9D"/>
    <w:rsid w:val="0038000B"/>
    <w:rsid w:val="00382427"/>
    <w:rsid w:val="00384DA5"/>
    <w:rsid w:val="003910F5"/>
    <w:rsid w:val="003A0017"/>
    <w:rsid w:val="003A4232"/>
    <w:rsid w:val="003A4E20"/>
    <w:rsid w:val="003A78A7"/>
    <w:rsid w:val="003B2ED5"/>
    <w:rsid w:val="003B4D72"/>
    <w:rsid w:val="003B6E43"/>
    <w:rsid w:val="003C03DA"/>
    <w:rsid w:val="003C3BE7"/>
    <w:rsid w:val="003C5429"/>
    <w:rsid w:val="003C553A"/>
    <w:rsid w:val="003D0850"/>
    <w:rsid w:val="003D1191"/>
    <w:rsid w:val="003D12CF"/>
    <w:rsid w:val="003D1CCD"/>
    <w:rsid w:val="003D1ECB"/>
    <w:rsid w:val="003D45AE"/>
    <w:rsid w:val="003D76D2"/>
    <w:rsid w:val="003E175B"/>
    <w:rsid w:val="003E714B"/>
    <w:rsid w:val="003F14A8"/>
    <w:rsid w:val="003F38FC"/>
    <w:rsid w:val="003F7C73"/>
    <w:rsid w:val="00402ABA"/>
    <w:rsid w:val="004039DC"/>
    <w:rsid w:val="00404A8D"/>
    <w:rsid w:val="00404F5D"/>
    <w:rsid w:val="00404F67"/>
    <w:rsid w:val="0041095D"/>
    <w:rsid w:val="00413C33"/>
    <w:rsid w:val="00417CC2"/>
    <w:rsid w:val="00417D17"/>
    <w:rsid w:val="00422504"/>
    <w:rsid w:val="004239C0"/>
    <w:rsid w:val="00427F8A"/>
    <w:rsid w:val="00432AC3"/>
    <w:rsid w:val="004337DF"/>
    <w:rsid w:val="00433B0B"/>
    <w:rsid w:val="00434EC6"/>
    <w:rsid w:val="00435099"/>
    <w:rsid w:val="0043542D"/>
    <w:rsid w:val="00437481"/>
    <w:rsid w:val="00442965"/>
    <w:rsid w:val="00445FFE"/>
    <w:rsid w:val="00446D97"/>
    <w:rsid w:val="00455D1A"/>
    <w:rsid w:val="00456DE7"/>
    <w:rsid w:val="00464FA6"/>
    <w:rsid w:val="00467A91"/>
    <w:rsid w:val="00470A1B"/>
    <w:rsid w:val="00474E36"/>
    <w:rsid w:val="004754B2"/>
    <w:rsid w:val="00476467"/>
    <w:rsid w:val="00477DAD"/>
    <w:rsid w:val="00480511"/>
    <w:rsid w:val="00481498"/>
    <w:rsid w:val="00483C9F"/>
    <w:rsid w:val="00485C1B"/>
    <w:rsid w:val="00487558"/>
    <w:rsid w:val="00491B8C"/>
    <w:rsid w:val="004929D7"/>
    <w:rsid w:val="00493181"/>
    <w:rsid w:val="00493754"/>
    <w:rsid w:val="00493963"/>
    <w:rsid w:val="00493C48"/>
    <w:rsid w:val="004A108F"/>
    <w:rsid w:val="004A25D5"/>
    <w:rsid w:val="004C30D0"/>
    <w:rsid w:val="004C3F88"/>
    <w:rsid w:val="004C7F69"/>
    <w:rsid w:val="004D0376"/>
    <w:rsid w:val="004D0998"/>
    <w:rsid w:val="004D1701"/>
    <w:rsid w:val="004D400D"/>
    <w:rsid w:val="004D4357"/>
    <w:rsid w:val="004E182D"/>
    <w:rsid w:val="004E3AC8"/>
    <w:rsid w:val="004E4295"/>
    <w:rsid w:val="004E4516"/>
    <w:rsid w:val="004E64D0"/>
    <w:rsid w:val="004E75E7"/>
    <w:rsid w:val="004F2A9A"/>
    <w:rsid w:val="004F3146"/>
    <w:rsid w:val="00500324"/>
    <w:rsid w:val="005005D0"/>
    <w:rsid w:val="00500D59"/>
    <w:rsid w:val="00501064"/>
    <w:rsid w:val="00501F6B"/>
    <w:rsid w:val="00505BFA"/>
    <w:rsid w:val="0050618A"/>
    <w:rsid w:val="00506C05"/>
    <w:rsid w:val="005102D5"/>
    <w:rsid w:val="005109F9"/>
    <w:rsid w:val="00513C66"/>
    <w:rsid w:val="00516672"/>
    <w:rsid w:val="005169A3"/>
    <w:rsid w:val="00517EC9"/>
    <w:rsid w:val="005214F9"/>
    <w:rsid w:val="005237FD"/>
    <w:rsid w:val="005263A9"/>
    <w:rsid w:val="0052708D"/>
    <w:rsid w:val="0053284A"/>
    <w:rsid w:val="00532ACC"/>
    <w:rsid w:val="00535A52"/>
    <w:rsid w:val="00536D67"/>
    <w:rsid w:val="00537DEE"/>
    <w:rsid w:val="005401C2"/>
    <w:rsid w:val="00542D98"/>
    <w:rsid w:val="00542EFD"/>
    <w:rsid w:val="005470DF"/>
    <w:rsid w:val="005472DB"/>
    <w:rsid w:val="00550647"/>
    <w:rsid w:val="00551A2C"/>
    <w:rsid w:val="00552B82"/>
    <w:rsid w:val="00553BAC"/>
    <w:rsid w:val="00554C03"/>
    <w:rsid w:val="00556482"/>
    <w:rsid w:val="00556AC7"/>
    <w:rsid w:val="00556CBF"/>
    <w:rsid w:val="0055706A"/>
    <w:rsid w:val="00560E85"/>
    <w:rsid w:val="0056382B"/>
    <w:rsid w:val="00563A6F"/>
    <w:rsid w:val="00563FE3"/>
    <w:rsid w:val="00565118"/>
    <w:rsid w:val="00565E94"/>
    <w:rsid w:val="00567E2F"/>
    <w:rsid w:val="005743B1"/>
    <w:rsid w:val="005747A8"/>
    <w:rsid w:val="00582B3F"/>
    <w:rsid w:val="00590234"/>
    <w:rsid w:val="0059086C"/>
    <w:rsid w:val="00593D1F"/>
    <w:rsid w:val="005976DF"/>
    <w:rsid w:val="00597E9D"/>
    <w:rsid w:val="005A2807"/>
    <w:rsid w:val="005A3596"/>
    <w:rsid w:val="005A37AF"/>
    <w:rsid w:val="005A4DD7"/>
    <w:rsid w:val="005A7C0B"/>
    <w:rsid w:val="005B0B75"/>
    <w:rsid w:val="005B0DD0"/>
    <w:rsid w:val="005B1921"/>
    <w:rsid w:val="005B38AD"/>
    <w:rsid w:val="005B4EAA"/>
    <w:rsid w:val="005B5B07"/>
    <w:rsid w:val="005B6720"/>
    <w:rsid w:val="005B76A7"/>
    <w:rsid w:val="005C1F1E"/>
    <w:rsid w:val="005C4481"/>
    <w:rsid w:val="005D43BE"/>
    <w:rsid w:val="005D73F5"/>
    <w:rsid w:val="005D7885"/>
    <w:rsid w:val="005F1EF8"/>
    <w:rsid w:val="005F20E4"/>
    <w:rsid w:val="005F33EE"/>
    <w:rsid w:val="005F3A88"/>
    <w:rsid w:val="005F3DDC"/>
    <w:rsid w:val="005F4C88"/>
    <w:rsid w:val="006008D4"/>
    <w:rsid w:val="00601625"/>
    <w:rsid w:val="0060168A"/>
    <w:rsid w:val="006108A1"/>
    <w:rsid w:val="00611DB2"/>
    <w:rsid w:val="0061243D"/>
    <w:rsid w:val="00613264"/>
    <w:rsid w:val="006135F0"/>
    <w:rsid w:val="00615FCE"/>
    <w:rsid w:val="00620E3E"/>
    <w:rsid w:val="00621B7E"/>
    <w:rsid w:val="00626481"/>
    <w:rsid w:val="0063081A"/>
    <w:rsid w:val="00632F4B"/>
    <w:rsid w:val="0063402D"/>
    <w:rsid w:val="006340AA"/>
    <w:rsid w:val="006348BA"/>
    <w:rsid w:val="0063587E"/>
    <w:rsid w:val="00637775"/>
    <w:rsid w:val="00637ADC"/>
    <w:rsid w:val="0064191F"/>
    <w:rsid w:val="0064517D"/>
    <w:rsid w:val="00647CD2"/>
    <w:rsid w:val="006502AB"/>
    <w:rsid w:val="006513A1"/>
    <w:rsid w:val="006567CD"/>
    <w:rsid w:val="00656AB2"/>
    <w:rsid w:val="00661613"/>
    <w:rsid w:val="00661952"/>
    <w:rsid w:val="00661D29"/>
    <w:rsid w:val="00662A0C"/>
    <w:rsid w:val="006643F8"/>
    <w:rsid w:val="00665C96"/>
    <w:rsid w:val="00670A2A"/>
    <w:rsid w:val="006741D5"/>
    <w:rsid w:val="00680A4D"/>
    <w:rsid w:val="00681A29"/>
    <w:rsid w:val="0068204F"/>
    <w:rsid w:val="00682112"/>
    <w:rsid w:val="00683F5E"/>
    <w:rsid w:val="0068492D"/>
    <w:rsid w:val="00687359"/>
    <w:rsid w:val="00695998"/>
    <w:rsid w:val="00695B65"/>
    <w:rsid w:val="0069738A"/>
    <w:rsid w:val="0069770B"/>
    <w:rsid w:val="006A1532"/>
    <w:rsid w:val="006A1955"/>
    <w:rsid w:val="006A1F26"/>
    <w:rsid w:val="006A3A9E"/>
    <w:rsid w:val="006A625D"/>
    <w:rsid w:val="006B25D1"/>
    <w:rsid w:val="006B450F"/>
    <w:rsid w:val="006C0CF7"/>
    <w:rsid w:val="006C3839"/>
    <w:rsid w:val="006C4F6F"/>
    <w:rsid w:val="006C7994"/>
    <w:rsid w:val="006D0506"/>
    <w:rsid w:val="006D24D4"/>
    <w:rsid w:val="006E0B81"/>
    <w:rsid w:val="006E1A60"/>
    <w:rsid w:val="006E29F9"/>
    <w:rsid w:val="006E2A20"/>
    <w:rsid w:val="006E2B12"/>
    <w:rsid w:val="006E44CC"/>
    <w:rsid w:val="006E7BB5"/>
    <w:rsid w:val="006E7FF2"/>
    <w:rsid w:val="006F4E14"/>
    <w:rsid w:val="00700D2E"/>
    <w:rsid w:val="0070195F"/>
    <w:rsid w:val="00701E76"/>
    <w:rsid w:val="00702669"/>
    <w:rsid w:val="007039EF"/>
    <w:rsid w:val="00707084"/>
    <w:rsid w:val="0071005D"/>
    <w:rsid w:val="00710138"/>
    <w:rsid w:val="00710839"/>
    <w:rsid w:val="007116B4"/>
    <w:rsid w:val="007178BC"/>
    <w:rsid w:val="00721375"/>
    <w:rsid w:val="00721887"/>
    <w:rsid w:val="007240EE"/>
    <w:rsid w:val="00727A1A"/>
    <w:rsid w:val="00734C83"/>
    <w:rsid w:val="007352F4"/>
    <w:rsid w:val="007355B9"/>
    <w:rsid w:val="00736351"/>
    <w:rsid w:val="00737266"/>
    <w:rsid w:val="00737A8A"/>
    <w:rsid w:val="00745521"/>
    <w:rsid w:val="00747093"/>
    <w:rsid w:val="007509B8"/>
    <w:rsid w:val="00752937"/>
    <w:rsid w:val="00753E62"/>
    <w:rsid w:val="00756379"/>
    <w:rsid w:val="0075638D"/>
    <w:rsid w:val="007636EF"/>
    <w:rsid w:val="00764501"/>
    <w:rsid w:val="00766035"/>
    <w:rsid w:val="00766D05"/>
    <w:rsid w:val="00772174"/>
    <w:rsid w:val="007769BA"/>
    <w:rsid w:val="007824F5"/>
    <w:rsid w:val="00782778"/>
    <w:rsid w:val="00784E02"/>
    <w:rsid w:val="007858B1"/>
    <w:rsid w:val="007861C1"/>
    <w:rsid w:val="00786B27"/>
    <w:rsid w:val="00786B7D"/>
    <w:rsid w:val="00790BB2"/>
    <w:rsid w:val="00790F2D"/>
    <w:rsid w:val="0079253D"/>
    <w:rsid w:val="007932A0"/>
    <w:rsid w:val="00793998"/>
    <w:rsid w:val="00795961"/>
    <w:rsid w:val="007971EC"/>
    <w:rsid w:val="007A01BC"/>
    <w:rsid w:val="007A2713"/>
    <w:rsid w:val="007A2ABE"/>
    <w:rsid w:val="007A6078"/>
    <w:rsid w:val="007A6411"/>
    <w:rsid w:val="007B22A6"/>
    <w:rsid w:val="007B2CF7"/>
    <w:rsid w:val="007B4144"/>
    <w:rsid w:val="007C2368"/>
    <w:rsid w:val="007C4E0F"/>
    <w:rsid w:val="007C5A63"/>
    <w:rsid w:val="007C66FF"/>
    <w:rsid w:val="007C7404"/>
    <w:rsid w:val="007D021F"/>
    <w:rsid w:val="007D15AC"/>
    <w:rsid w:val="007D3E7A"/>
    <w:rsid w:val="007D4F88"/>
    <w:rsid w:val="007D66F0"/>
    <w:rsid w:val="007E1069"/>
    <w:rsid w:val="007E6346"/>
    <w:rsid w:val="007F1F62"/>
    <w:rsid w:val="007F579F"/>
    <w:rsid w:val="00800E8C"/>
    <w:rsid w:val="00803AA8"/>
    <w:rsid w:val="008043A4"/>
    <w:rsid w:val="0080513E"/>
    <w:rsid w:val="0080716D"/>
    <w:rsid w:val="008073D1"/>
    <w:rsid w:val="0081371F"/>
    <w:rsid w:val="008208A4"/>
    <w:rsid w:val="00821DEE"/>
    <w:rsid w:val="0082509C"/>
    <w:rsid w:val="00831036"/>
    <w:rsid w:val="008324EC"/>
    <w:rsid w:val="00834024"/>
    <w:rsid w:val="00834CEF"/>
    <w:rsid w:val="0084153E"/>
    <w:rsid w:val="008427CA"/>
    <w:rsid w:val="00842903"/>
    <w:rsid w:val="008455DF"/>
    <w:rsid w:val="00846238"/>
    <w:rsid w:val="008477BE"/>
    <w:rsid w:val="00847C9E"/>
    <w:rsid w:val="00851A4F"/>
    <w:rsid w:val="008521C2"/>
    <w:rsid w:val="008543D9"/>
    <w:rsid w:val="008557D6"/>
    <w:rsid w:val="00856070"/>
    <w:rsid w:val="0085628C"/>
    <w:rsid w:val="00856807"/>
    <w:rsid w:val="008604CF"/>
    <w:rsid w:val="008613E3"/>
    <w:rsid w:val="0086267F"/>
    <w:rsid w:val="00863CFE"/>
    <w:rsid w:val="00865AF8"/>
    <w:rsid w:val="00865ECF"/>
    <w:rsid w:val="00866C80"/>
    <w:rsid w:val="0087339D"/>
    <w:rsid w:val="00873E53"/>
    <w:rsid w:val="00875F4C"/>
    <w:rsid w:val="00876DD2"/>
    <w:rsid w:val="00877E60"/>
    <w:rsid w:val="008801BE"/>
    <w:rsid w:val="008803DF"/>
    <w:rsid w:val="008828BD"/>
    <w:rsid w:val="00883AC5"/>
    <w:rsid w:val="00883CCD"/>
    <w:rsid w:val="00885CE7"/>
    <w:rsid w:val="00885D01"/>
    <w:rsid w:val="00892EC4"/>
    <w:rsid w:val="00893762"/>
    <w:rsid w:val="00895D50"/>
    <w:rsid w:val="008A1653"/>
    <w:rsid w:val="008A4BE3"/>
    <w:rsid w:val="008A5705"/>
    <w:rsid w:val="008A6A25"/>
    <w:rsid w:val="008B01CB"/>
    <w:rsid w:val="008B092B"/>
    <w:rsid w:val="008B0A4C"/>
    <w:rsid w:val="008B1E6C"/>
    <w:rsid w:val="008B3BE5"/>
    <w:rsid w:val="008B481A"/>
    <w:rsid w:val="008B60E1"/>
    <w:rsid w:val="008B7168"/>
    <w:rsid w:val="008C4FCD"/>
    <w:rsid w:val="008C6928"/>
    <w:rsid w:val="008D17FC"/>
    <w:rsid w:val="008D286D"/>
    <w:rsid w:val="008D3A29"/>
    <w:rsid w:val="008D63B0"/>
    <w:rsid w:val="008E0278"/>
    <w:rsid w:val="008E31D2"/>
    <w:rsid w:val="008E4A89"/>
    <w:rsid w:val="008E51E7"/>
    <w:rsid w:val="008E5C75"/>
    <w:rsid w:val="008E6529"/>
    <w:rsid w:val="008F02A0"/>
    <w:rsid w:val="008F0B01"/>
    <w:rsid w:val="008F73C8"/>
    <w:rsid w:val="009030F1"/>
    <w:rsid w:val="009042A5"/>
    <w:rsid w:val="009128AA"/>
    <w:rsid w:val="0091436C"/>
    <w:rsid w:val="009147D8"/>
    <w:rsid w:val="00914ACF"/>
    <w:rsid w:val="00920E15"/>
    <w:rsid w:val="00922BB7"/>
    <w:rsid w:val="00923EFC"/>
    <w:rsid w:val="00923FB9"/>
    <w:rsid w:val="0092532B"/>
    <w:rsid w:val="00927CFF"/>
    <w:rsid w:val="00931FD4"/>
    <w:rsid w:val="009338BE"/>
    <w:rsid w:val="00937225"/>
    <w:rsid w:val="00942338"/>
    <w:rsid w:val="00947620"/>
    <w:rsid w:val="0095509D"/>
    <w:rsid w:val="00955476"/>
    <w:rsid w:val="00955576"/>
    <w:rsid w:val="009559AD"/>
    <w:rsid w:val="009564C0"/>
    <w:rsid w:val="00956EA7"/>
    <w:rsid w:val="00960AFC"/>
    <w:rsid w:val="00963244"/>
    <w:rsid w:val="00970792"/>
    <w:rsid w:val="00973BD1"/>
    <w:rsid w:val="00981B4A"/>
    <w:rsid w:val="00985320"/>
    <w:rsid w:val="00985D31"/>
    <w:rsid w:val="00996894"/>
    <w:rsid w:val="00996C38"/>
    <w:rsid w:val="00996E22"/>
    <w:rsid w:val="009979FC"/>
    <w:rsid w:val="009A1D7A"/>
    <w:rsid w:val="009A21AF"/>
    <w:rsid w:val="009A3162"/>
    <w:rsid w:val="009A6AFE"/>
    <w:rsid w:val="009B002C"/>
    <w:rsid w:val="009B01BD"/>
    <w:rsid w:val="009B15BD"/>
    <w:rsid w:val="009B3069"/>
    <w:rsid w:val="009B5077"/>
    <w:rsid w:val="009B56D9"/>
    <w:rsid w:val="009C19C5"/>
    <w:rsid w:val="009C299D"/>
    <w:rsid w:val="009C38F4"/>
    <w:rsid w:val="009C4A24"/>
    <w:rsid w:val="009D12EB"/>
    <w:rsid w:val="009D17E0"/>
    <w:rsid w:val="009D1849"/>
    <w:rsid w:val="009D1A78"/>
    <w:rsid w:val="009D2127"/>
    <w:rsid w:val="009D23C6"/>
    <w:rsid w:val="009E080E"/>
    <w:rsid w:val="009E13AB"/>
    <w:rsid w:val="009E339D"/>
    <w:rsid w:val="009E3DB5"/>
    <w:rsid w:val="009E4D96"/>
    <w:rsid w:val="009E508B"/>
    <w:rsid w:val="009F10AE"/>
    <w:rsid w:val="009F22F0"/>
    <w:rsid w:val="009F2656"/>
    <w:rsid w:val="009F34AD"/>
    <w:rsid w:val="009F7FA3"/>
    <w:rsid w:val="00A032AA"/>
    <w:rsid w:val="00A05267"/>
    <w:rsid w:val="00A06938"/>
    <w:rsid w:val="00A07C17"/>
    <w:rsid w:val="00A12D26"/>
    <w:rsid w:val="00A14500"/>
    <w:rsid w:val="00A167A7"/>
    <w:rsid w:val="00A24BAD"/>
    <w:rsid w:val="00A2545A"/>
    <w:rsid w:val="00A31970"/>
    <w:rsid w:val="00A31D76"/>
    <w:rsid w:val="00A32C61"/>
    <w:rsid w:val="00A334C6"/>
    <w:rsid w:val="00A34ABE"/>
    <w:rsid w:val="00A34D70"/>
    <w:rsid w:val="00A406E5"/>
    <w:rsid w:val="00A41629"/>
    <w:rsid w:val="00A42BB2"/>
    <w:rsid w:val="00A43456"/>
    <w:rsid w:val="00A52040"/>
    <w:rsid w:val="00A52B43"/>
    <w:rsid w:val="00A5679F"/>
    <w:rsid w:val="00A60082"/>
    <w:rsid w:val="00A6133A"/>
    <w:rsid w:val="00A6262F"/>
    <w:rsid w:val="00A62ACB"/>
    <w:rsid w:val="00A65B86"/>
    <w:rsid w:val="00A65D23"/>
    <w:rsid w:val="00A662C0"/>
    <w:rsid w:val="00A663F6"/>
    <w:rsid w:val="00A71849"/>
    <w:rsid w:val="00A71AD2"/>
    <w:rsid w:val="00A71EF3"/>
    <w:rsid w:val="00A72E13"/>
    <w:rsid w:val="00A774E3"/>
    <w:rsid w:val="00A778B5"/>
    <w:rsid w:val="00A778C5"/>
    <w:rsid w:val="00A80AD8"/>
    <w:rsid w:val="00A80D23"/>
    <w:rsid w:val="00A84007"/>
    <w:rsid w:val="00A869BF"/>
    <w:rsid w:val="00A9017F"/>
    <w:rsid w:val="00A90434"/>
    <w:rsid w:val="00A944FF"/>
    <w:rsid w:val="00A94B06"/>
    <w:rsid w:val="00AA0D18"/>
    <w:rsid w:val="00AA1C84"/>
    <w:rsid w:val="00AA2DC3"/>
    <w:rsid w:val="00AA34E3"/>
    <w:rsid w:val="00AA52A6"/>
    <w:rsid w:val="00AA561D"/>
    <w:rsid w:val="00AB243B"/>
    <w:rsid w:val="00AB51A1"/>
    <w:rsid w:val="00AB6D59"/>
    <w:rsid w:val="00AB6F67"/>
    <w:rsid w:val="00AB7DCD"/>
    <w:rsid w:val="00AC27E0"/>
    <w:rsid w:val="00AC2C9C"/>
    <w:rsid w:val="00AC2E36"/>
    <w:rsid w:val="00AC356F"/>
    <w:rsid w:val="00AC5C35"/>
    <w:rsid w:val="00AC6A14"/>
    <w:rsid w:val="00AC6F84"/>
    <w:rsid w:val="00AD2178"/>
    <w:rsid w:val="00AD4CC1"/>
    <w:rsid w:val="00AE0D83"/>
    <w:rsid w:val="00AE6B0D"/>
    <w:rsid w:val="00AE73F5"/>
    <w:rsid w:val="00AF3EEA"/>
    <w:rsid w:val="00AF4F9D"/>
    <w:rsid w:val="00AF5583"/>
    <w:rsid w:val="00AF6EF6"/>
    <w:rsid w:val="00AF7925"/>
    <w:rsid w:val="00B02A3B"/>
    <w:rsid w:val="00B05337"/>
    <w:rsid w:val="00B117DE"/>
    <w:rsid w:val="00B136C2"/>
    <w:rsid w:val="00B145B3"/>
    <w:rsid w:val="00B1679A"/>
    <w:rsid w:val="00B17C80"/>
    <w:rsid w:val="00B17FD8"/>
    <w:rsid w:val="00B20D89"/>
    <w:rsid w:val="00B21D60"/>
    <w:rsid w:val="00B22F95"/>
    <w:rsid w:val="00B244FE"/>
    <w:rsid w:val="00B25170"/>
    <w:rsid w:val="00B252D3"/>
    <w:rsid w:val="00B27EDD"/>
    <w:rsid w:val="00B315C1"/>
    <w:rsid w:val="00B3365D"/>
    <w:rsid w:val="00B37D90"/>
    <w:rsid w:val="00B40767"/>
    <w:rsid w:val="00B440D3"/>
    <w:rsid w:val="00B4445E"/>
    <w:rsid w:val="00B45A0D"/>
    <w:rsid w:val="00B45B1B"/>
    <w:rsid w:val="00B618FF"/>
    <w:rsid w:val="00B6319D"/>
    <w:rsid w:val="00B66B43"/>
    <w:rsid w:val="00B67FC1"/>
    <w:rsid w:val="00B7282D"/>
    <w:rsid w:val="00B7568D"/>
    <w:rsid w:val="00B76A1D"/>
    <w:rsid w:val="00B776E5"/>
    <w:rsid w:val="00B77F2A"/>
    <w:rsid w:val="00B81322"/>
    <w:rsid w:val="00B81E5F"/>
    <w:rsid w:val="00B9033B"/>
    <w:rsid w:val="00B93A5B"/>
    <w:rsid w:val="00B945F9"/>
    <w:rsid w:val="00B94707"/>
    <w:rsid w:val="00B96EF4"/>
    <w:rsid w:val="00B96EFF"/>
    <w:rsid w:val="00B976C6"/>
    <w:rsid w:val="00BA35AB"/>
    <w:rsid w:val="00BA7DE6"/>
    <w:rsid w:val="00BB2B53"/>
    <w:rsid w:val="00BB2F4A"/>
    <w:rsid w:val="00BB4413"/>
    <w:rsid w:val="00BB4B32"/>
    <w:rsid w:val="00BB6C3C"/>
    <w:rsid w:val="00BB7CEE"/>
    <w:rsid w:val="00BC266B"/>
    <w:rsid w:val="00BC3E5A"/>
    <w:rsid w:val="00BC4886"/>
    <w:rsid w:val="00BC61A7"/>
    <w:rsid w:val="00BC7096"/>
    <w:rsid w:val="00BD1309"/>
    <w:rsid w:val="00BD1887"/>
    <w:rsid w:val="00BD29AB"/>
    <w:rsid w:val="00BD70F1"/>
    <w:rsid w:val="00BE01B9"/>
    <w:rsid w:val="00BE179A"/>
    <w:rsid w:val="00BE2449"/>
    <w:rsid w:val="00BE2FCF"/>
    <w:rsid w:val="00BE4994"/>
    <w:rsid w:val="00BE6C2C"/>
    <w:rsid w:val="00BF201A"/>
    <w:rsid w:val="00BF3179"/>
    <w:rsid w:val="00BF3968"/>
    <w:rsid w:val="00BF6569"/>
    <w:rsid w:val="00C01469"/>
    <w:rsid w:val="00C0388D"/>
    <w:rsid w:val="00C102F9"/>
    <w:rsid w:val="00C10855"/>
    <w:rsid w:val="00C1153C"/>
    <w:rsid w:val="00C11EE7"/>
    <w:rsid w:val="00C163F1"/>
    <w:rsid w:val="00C16FED"/>
    <w:rsid w:val="00C21677"/>
    <w:rsid w:val="00C24506"/>
    <w:rsid w:val="00C25D31"/>
    <w:rsid w:val="00C3368E"/>
    <w:rsid w:val="00C42047"/>
    <w:rsid w:val="00C42DDD"/>
    <w:rsid w:val="00C434BC"/>
    <w:rsid w:val="00C44A20"/>
    <w:rsid w:val="00C4694D"/>
    <w:rsid w:val="00C46E0C"/>
    <w:rsid w:val="00C47106"/>
    <w:rsid w:val="00C51DC8"/>
    <w:rsid w:val="00C529D4"/>
    <w:rsid w:val="00C55870"/>
    <w:rsid w:val="00C57B46"/>
    <w:rsid w:val="00C6182F"/>
    <w:rsid w:val="00C62181"/>
    <w:rsid w:val="00C62945"/>
    <w:rsid w:val="00C64FD8"/>
    <w:rsid w:val="00C675C8"/>
    <w:rsid w:val="00C727F4"/>
    <w:rsid w:val="00C8334B"/>
    <w:rsid w:val="00C96AA1"/>
    <w:rsid w:val="00CA1776"/>
    <w:rsid w:val="00CA4CE3"/>
    <w:rsid w:val="00CA567D"/>
    <w:rsid w:val="00CA780C"/>
    <w:rsid w:val="00CA7DCF"/>
    <w:rsid w:val="00CB0492"/>
    <w:rsid w:val="00CB0D0C"/>
    <w:rsid w:val="00CB1AC8"/>
    <w:rsid w:val="00CB4593"/>
    <w:rsid w:val="00CB53A7"/>
    <w:rsid w:val="00CB5AA3"/>
    <w:rsid w:val="00CB634B"/>
    <w:rsid w:val="00CB6604"/>
    <w:rsid w:val="00CB717D"/>
    <w:rsid w:val="00CC0324"/>
    <w:rsid w:val="00CC081E"/>
    <w:rsid w:val="00CC3A2C"/>
    <w:rsid w:val="00CC4ED6"/>
    <w:rsid w:val="00CC502E"/>
    <w:rsid w:val="00CD32B1"/>
    <w:rsid w:val="00CD3D81"/>
    <w:rsid w:val="00CD4825"/>
    <w:rsid w:val="00CE3B1E"/>
    <w:rsid w:val="00CE5DA8"/>
    <w:rsid w:val="00CE6EAF"/>
    <w:rsid w:val="00CF2325"/>
    <w:rsid w:val="00CF65B6"/>
    <w:rsid w:val="00D01388"/>
    <w:rsid w:val="00D01C8A"/>
    <w:rsid w:val="00D03113"/>
    <w:rsid w:val="00D03804"/>
    <w:rsid w:val="00D03E81"/>
    <w:rsid w:val="00D05282"/>
    <w:rsid w:val="00D0622F"/>
    <w:rsid w:val="00D0717F"/>
    <w:rsid w:val="00D119C7"/>
    <w:rsid w:val="00D12E28"/>
    <w:rsid w:val="00D13200"/>
    <w:rsid w:val="00D13D8D"/>
    <w:rsid w:val="00D14F4A"/>
    <w:rsid w:val="00D1745A"/>
    <w:rsid w:val="00D207C9"/>
    <w:rsid w:val="00D25D9C"/>
    <w:rsid w:val="00D30612"/>
    <w:rsid w:val="00D317F9"/>
    <w:rsid w:val="00D32F60"/>
    <w:rsid w:val="00D3302C"/>
    <w:rsid w:val="00D33D0E"/>
    <w:rsid w:val="00D361E2"/>
    <w:rsid w:val="00D36AE5"/>
    <w:rsid w:val="00D414CF"/>
    <w:rsid w:val="00D50F80"/>
    <w:rsid w:val="00D52112"/>
    <w:rsid w:val="00D523B4"/>
    <w:rsid w:val="00D52FF6"/>
    <w:rsid w:val="00D55C12"/>
    <w:rsid w:val="00D562EE"/>
    <w:rsid w:val="00D56A1A"/>
    <w:rsid w:val="00D57C59"/>
    <w:rsid w:val="00D653C8"/>
    <w:rsid w:val="00D667FA"/>
    <w:rsid w:val="00D67403"/>
    <w:rsid w:val="00D7545A"/>
    <w:rsid w:val="00D80F31"/>
    <w:rsid w:val="00D81F05"/>
    <w:rsid w:val="00D85885"/>
    <w:rsid w:val="00D868D7"/>
    <w:rsid w:val="00D877F7"/>
    <w:rsid w:val="00D952CF"/>
    <w:rsid w:val="00DA0F1F"/>
    <w:rsid w:val="00DA2538"/>
    <w:rsid w:val="00DA2C32"/>
    <w:rsid w:val="00DA3868"/>
    <w:rsid w:val="00DA5444"/>
    <w:rsid w:val="00DA6B2C"/>
    <w:rsid w:val="00DB24F4"/>
    <w:rsid w:val="00DB30D5"/>
    <w:rsid w:val="00DB38AA"/>
    <w:rsid w:val="00DB5AE1"/>
    <w:rsid w:val="00DB66D9"/>
    <w:rsid w:val="00DB7940"/>
    <w:rsid w:val="00DB7AEC"/>
    <w:rsid w:val="00DC1A88"/>
    <w:rsid w:val="00DC4AA6"/>
    <w:rsid w:val="00DC4DE2"/>
    <w:rsid w:val="00DC70CB"/>
    <w:rsid w:val="00DC7C19"/>
    <w:rsid w:val="00DD303E"/>
    <w:rsid w:val="00DD3F63"/>
    <w:rsid w:val="00DD48CF"/>
    <w:rsid w:val="00DD5996"/>
    <w:rsid w:val="00DD5AC7"/>
    <w:rsid w:val="00DD7722"/>
    <w:rsid w:val="00DE4348"/>
    <w:rsid w:val="00DE4C69"/>
    <w:rsid w:val="00DE6F62"/>
    <w:rsid w:val="00DF10A8"/>
    <w:rsid w:val="00DF26F8"/>
    <w:rsid w:val="00DF4FC0"/>
    <w:rsid w:val="00DF5FB5"/>
    <w:rsid w:val="00E03D48"/>
    <w:rsid w:val="00E0602A"/>
    <w:rsid w:val="00E10F26"/>
    <w:rsid w:val="00E11DA3"/>
    <w:rsid w:val="00E141FE"/>
    <w:rsid w:val="00E16E08"/>
    <w:rsid w:val="00E212AA"/>
    <w:rsid w:val="00E21A42"/>
    <w:rsid w:val="00E21C32"/>
    <w:rsid w:val="00E22483"/>
    <w:rsid w:val="00E230D5"/>
    <w:rsid w:val="00E2428B"/>
    <w:rsid w:val="00E254DB"/>
    <w:rsid w:val="00E254F0"/>
    <w:rsid w:val="00E33C90"/>
    <w:rsid w:val="00E36149"/>
    <w:rsid w:val="00E3706E"/>
    <w:rsid w:val="00E427BF"/>
    <w:rsid w:val="00E450E6"/>
    <w:rsid w:val="00E47015"/>
    <w:rsid w:val="00E47146"/>
    <w:rsid w:val="00E47656"/>
    <w:rsid w:val="00E47D00"/>
    <w:rsid w:val="00E5105C"/>
    <w:rsid w:val="00E51BDD"/>
    <w:rsid w:val="00E52A66"/>
    <w:rsid w:val="00E55C9A"/>
    <w:rsid w:val="00E57943"/>
    <w:rsid w:val="00E61075"/>
    <w:rsid w:val="00E619BF"/>
    <w:rsid w:val="00E639E7"/>
    <w:rsid w:val="00E64AFF"/>
    <w:rsid w:val="00E661AD"/>
    <w:rsid w:val="00E7172E"/>
    <w:rsid w:val="00E73C72"/>
    <w:rsid w:val="00E8528B"/>
    <w:rsid w:val="00E864FD"/>
    <w:rsid w:val="00E86A2D"/>
    <w:rsid w:val="00E86E30"/>
    <w:rsid w:val="00E94F87"/>
    <w:rsid w:val="00E9628C"/>
    <w:rsid w:val="00E96A37"/>
    <w:rsid w:val="00EA08F2"/>
    <w:rsid w:val="00EA0BAE"/>
    <w:rsid w:val="00EA20E1"/>
    <w:rsid w:val="00EA26DB"/>
    <w:rsid w:val="00EA541F"/>
    <w:rsid w:val="00EA66D6"/>
    <w:rsid w:val="00EA7E00"/>
    <w:rsid w:val="00EB03E6"/>
    <w:rsid w:val="00EB08BB"/>
    <w:rsid w:val="00EB139C"/>
    <w:rsid w:val="00EB148B"/>
    <w:rsid w:val="00EB2935"/>
    <w:rsid w:val="00EB593E"/>
    <w:rsid w:val="00EB5B56"/>
    <w:rsid w:val="00EB65F3"/>
    <w:rsid w:val="00EB72DA"/>
    <w:rsid w:val="00EB784A"/>
    <w:rsid w:val="00EB78B8"/>
    <w:rsid w:val="00EC0224"/>
    <w:rsid w:val="00EC1030"/>
    <w:rsid w:val="00EC3142"/>
    <w:rsid w:val="00EC3702"/>
    <w:rsid w:val="00EC3E76"/>
    <w:rsid w:val="00EC5E23"/>
    <w:rsid w:val="00EC6518"/>
    <w:rsid w:val="00ED3280"/>
    <w:rsid w:val="00ED3904"/>
    <w:rsid w:val="00ED4F94"/>
    <w:rsid w:val="00ED53DD"/>
    <w:rsid w:val="00ED686C"/>
    <w:rsid w:val="00ED70E2"/>
    <w:rsid w:val="00EE13B8"/>
    <w:rsid w:val="00EE2A8D"/>
    <w:rsid w:val="00EE2FCC"/>
    <w:rsid w:val="00EE3B6A"/>
    <w:rsid w:val="00EE46C2"/>
    <w:rsid w:val="00EE6C97"/>
    <w:rsid w:val="00EE7824"/>
    <w:rsid w:val="00EF00EF"/>
    <w:rsid w:val="00EF036D"/>
    <w:rsid w:val="00EF2F63"/>
    <w:rsid w:val="00EF47BE"/>
    <w:rsid w:val="00F01661"/>
    <w:rsid w:val="00F018E0"/>
    <w:rsid w:val="00F028F3"/>
    <w:rsid w:val="00F07ADE"/>
    <w:rsid w:val="00F13EAF"/>
    <w:rsid w:val="00F13F0E"/>
    <w:rsid w:val="00F16A99"/>
    <w:rsid w:val="00F2142B"/>
    <w:rsid w:val="00F21D5E"/>
    <w:rsid w:val="00F24485"/>
    <w:rsid w:val="00F25554"/>
    <w:rsid w:val="00F26345"/>
    <w:rsid w:val="00F26758"/>
    <w:rsid w:val="00F268BD"/>
    <w:rsid w:val="00F26BDA"/>
    <w:rsid w:val="00F2713C"/>
    <w:rsid w:val="00F3092F"/>
    <w:rsid w:val="00F328E4"/>
    <w:rsid w:val="00F33982"/>
    <w:rsid w:val="00F37CBF"/>
    <w:rsid w:val="00F409A9"/>
    <w:rsid w:val="00F409CE"/>
    <w:rsid w:val="00F414BF"/>
    <w:rsid w:val="00F438F8"/>
    <w:rsid w:val="00F47586"/>
    <w:rsid w:val="00F51B6E"/>
    <w:rsid w:val="00F54B47"/>
    <w:rsid w:val="00F5789B"/>
    <w:rsid w:val="00F60359"/>
    <w:rsid w:val="00F628E2"/>
    <w:rsid w:val="00F64981"/>
    <w:rsid w:val="00F77CA6"/>
    <w:rsid w:val="00F77CD2"/>
    <w:rsid w:val="00F8154A"/>
    <w:rsid w:val="00F83535"/>
    <w:rsid w:val="00F83EA6"/>
    <w:rsid w:val="00F913F1"/>
    <w:rsid w:val="00FA3821"/>
    <w:rsid w:val="00FA513C"/>
    <w:rsid w:val="00FA6BD8"/>
    <w:rsid w:val="00FA6D5D"/>
    <w:rsid w:val="00FA78EF"/>
    <w:rsid w:val="00FB2FAA"/>
    <w:rsid w:val="00FB3179"/>
    <w:rsid w:val="00FB39A6"/>
    <w:rsid w:val="00FB74C3"/>
    <w:rsid w:val="00FB76E1"/>
    <w:rsid w:val="00FC32DA"/>
    <w:rsid w:val="00FC35D8"/>
    <w:rsid w:val="00FC47DD"/>
    <w:rsid w:val="00FC488C"/>
    <w:rsid w:val="00FC60C0"/>
    <w:rsid w:val="00FD0D39"/>
    <w:rsid w:val="00FD47D7"/>
    <w:rsid w:val="00FD5961"/>
    <w:rsid w:val="00FD5AB7"/>
    <w:rsid w:val="00FD6E93"/>
    <w:rsid w:val="00FD7523"/>
    <w:rsid w:val="00FE179A"/>
    <w:rsid w:val="00FE3E5F"/>
    <w:rsid w:val="00FE5227"/>
    <w:rsid w:val="00FF12DD"/>
    <w:rsid w:val="00FF1CC5"/>
    <w:rsid w:val="00FF240D"/>
    <w:rsid w:val="00FF427A"/>
    <w:rsid w:val="00FF4E4B"/>
    <w:rsid w:val="00FF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00C40A-8F64-4CB3-83A9-618EFCC0D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link w:val="Naslov1Char"/>
    <w:uiPriority w:val="9"/>
    <w:qFormat/>
    <w:rsid w:val="006A15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1831EB"/>
    <w:pPr>
      <w:widowControl w:val="0"/>
      <w:jc w:val="both"/>
    </w:pPr>
    <w:rPr>
      <w:snapToGrid w:val="0"/>
      <w:sz w:val="22"/>
      <w:szCs w:val="20"/>
      <w:lang w:val="en-US" w:eastAsia="en-US"/>
    </w:rPr>
  </w:style>
  <w:style w:type="paragraph" w:styleId="Tekstbalonia">
    <w:name w:val="Balloon Text"/>
    <w:basedOn w:val="Normal"/>
    <w:semiHidden/>
    <w:rsid w:val="00D877F7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1C7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CA4CE3"/>
    <w:rPr>
      <w:color w:val="0000FF"/>
      <w:u w:val="single"/>
    </w:rPr>
  </w:style>
  <w:style w:type="character" w:styleId="Istaknuto">
    <w:name w:val="Emphasis"/>
    <w:uiPriority w:val="20"/>
    <w:qFormat/>
    <w:rsid w:val="006A1532"/>
    <w:rPr>
      <w:i/>
      <w:iCs/>
    </w:rPr>
  </w:style>
  <w:style w:type="character" w:styleId="Naglaeno">
    <w:name w:val="Strong"/>
    <w:uiPriority w:val="22"/>
    <w:qFormat/>
    <w:rsid w:val="006A1532"/>
    <w:rPr>
      <w:b/>
      <w:bCs/>
    </w:rPr>
  </w:style>
  <w:style w:type="character" w:customStyle="1" w:styleId="Naslov1Char">
    <w:name w:val="Naslov 1 Char"/>
    <w:link w:val="Naslov1"/>
    <w:uiPriority w:val="9"/>
    <w:rsid w:val="006A1532"/>
    <w:rPr>
      <w:b/>
      <w:bCs/>
      <w:kern w:val="36"/>
      <w:sz w:val="48"/>
      <w:szCs w:val="48"/>
    </w:rPr>
  </w:style>
  <w:style w:type="paragraph" w:styleId="Bezproreda">
    <w:name w:val="No Spacing"/>
    <w:qFormat/>
    <w:rsid w:val="00107DCD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Zadanifontodlomka"/>
    <w:rsid w:val="003363CA"/>
  </w:style>
  <w:style w:type="character" w:customStyle="1" w:styleId="b-lyrics-from-signature">
    <w:name w:val="b-lyrics-from-signature"/>
    <w:basedOn w:val="Zadanifontodlomka"/>
    <w:rsid w:val="00336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9FBD4-B067-4D5D-8E83-B54E69E00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2027</Words>
  <Characters>11555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REPUBLIKA HRVATSKA</vt:lpstr>
    </vt:vector>
  </TitlesOfParts>
  <Company/>
  <LinksUpToDate>false</LinksUpToDate>
  <CharactersWithSpaces>13555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subject/>
  <dc:creator>Davorka</dc:creator>
  <cp:keywords/>
  <cp:lastModifiedBy>Lidija</cp:lastModifiedBy>
  <cp:revision>3</cp:revision>
  <cp:lastPrinted>2015-11-23T10:52:00Z</cp:lastPrinted>
  <dcterms:created xsi:type="dcterms:W3CDTF">2015-12-08T10:52:00Z</dcterms:created>
  <dcterms:modified xsi:type="dcterms:W3CDTF">2015-12-08T11:05:00Z</dcterms:modified>
</cp:coreProperties>
</file>